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Arial" w:hAnsi="Arial" w:cs="Arial" w:eastAsiaTheme="majorEastAsia"/>
          <w:caps/>
          <w:sz w:val="24"/>
          <w:szCs w:val="24"/>
        </w:rPr>
        <w:id w:val="267112235"/>
      </w:sdtPr>
      <w:sdtEndPr>
        <w:rPr>
          <w:rFonts w:ascii="Arial" w:hAnsi="Arial" w:cs="Arial" w:eastAsiaTheme="minorHAnsi"/>
          <w:b/>
          <w:caps w:val="0"/>
          <w:sz w:val="24"/>
          <w:szCs w:val="24"/>
        </w:rPr>
      </w:sdtEndPr>
      <w:sdtContent>
        <w:tbl>
          <w:tblPr>
            <w:tblStyle w:val="24"/>
            <w:tblW w:w="9855" w:type="dxa"/>
            <w:jc w:val="center"/>
            <w:tblInd w:w="0" w:type="dxa"/>
            <w:tblLayout w:type="fixed"/>
            <w:tblCellMar>
              <w:top w:w="0" w:type="dxa"/>
              <w:left w:w="108" w:type="dxa"/>
              <w:bottom w:w="0" w:type="dxa"/>
              <w:right w:w="108" w:type="dxa"/>
            </w:tblCellMar>
          </w:tblPr>
          <w:tblGrid>
            <w:gridCol w:w="9855"/>
          </w:tblGrid>
          <w:tr>
            <w:tblPrEx>
              <w:tblLayout w:type="fixed"/>
              <w:tblCellMar>
                <w:top w:w="0" w:type="dxa"/>
                <w:left w:w="108" w:type="dxa"/>
                <w:bottom w:w="0" w:type="dxa"/>
                <w:right w:w="108" w:type="dxa"/>
              </w:tblCellMar>
            </w:tblPrEx>
            <w:trPr>
              <w:trHeight w:val="2880" w:hRule="atLeast"/>
              <w:jc w:val="center"/>
            </w:trPr>
            <w:tc>
              <w:tcPr>
                <w:tcW w:w="9855" w:type="dxa"/>
              </w:tcPr>
              <w:p>
                <w:pPr>
                  <w:pStyle w:val="37"/>
                  <w:jc w:val="center"/>
                  <w:rPr>
                    <w:rFonts w:ascii="Arial" w:hAnsi="Arial" w:cs="Arial" w:eastAsiaTheme="majorEastAsia"/>
                    <w:caps/>
                    <w:sz w:val="24"/>
                    <w:szCs w:val="24"/>
                  </w:rPr>
                </w:pPr>
              </w:p>
              <w:p>
                <w:pPr>
                  <w:pStyle w:val="37"/>
                  <w:jc w:val="center"/>
                  <w:rPr>
                    <w:rFonts w:ascii="Arial" w:hAnsi="Arial" w:cs="Arial" w:eastAsiaTheme="majorEastAsia"/>
                    <w:caps/>
                    <w:sz w:val="24"/>
                    <w:szCs w:val="24"/>
                  </w:rPr>
                </w:pPr>
              </w:p>
            </w:tc>
          </w:tr>
          <w:tr>
            <w:tblPrEx>
              <w:tblLayout w:type="fixed"/>
              <w:tblCellMar>
                <w:top w:w="0" w:type="dxa"/>
                <w:left w:w="108" w:type="dxa"/>
                <w:bottom w:w="0" w:type="dxa"/>
                <w:right w:w="108" w:type="dxa"/>
              </w:tblCellMar>
            </w:tblPrEx>
            <w:trPr>
              <w:trHeight w:val="1440" w:hRule="atLeast"/>
              <w:jc w:val="center"/>
            </w:trPr>
            <w:sdt>
              <w:sdtPr>
                <w:rPr>
                  <w:rFonts w:ascii="Arial" w:hAnsi="Arial" w:cs="Arial"/>
                  <w:b/>
                  <w:bCs/>
                  <w:color w:val="000000"/>
                  <w:sz w:val="24"/>
                  <w:szCs w:val="24"/>
                </w:rPr>
                <w:alias w:val="Título"/>
                <w:id w:val="15524250"/>
                <w15:dataBinding w:prefixMappings="xmlns:ns0='http://schemas.openxmlformats.org/package/2006/metadata/core-properties' xmlns:ns1='http://purl.org/dc/elements/1.1/'" w:xpath="/ns0:coreProperties[1]/ns1:title[1]" w:storeItemID="{6C3C8BC8-F283-45AE-878A-BAB7291924A1}"/>
                <w:text/>
              </w:sdtPr>
              <w:sdtEndPr>
                <w:rPr>
                  <w:rFonts w:ascii="Arial" w:hAnsi="Arial" w:cs="Arial"/>
                  <w:b/>
                  <w:bCs/>
                  <w:color w:val="000000"/>
                  <w:sz w:val="24"/>
                  <w:szCs w:val="24"/>
                </w:rPr>
              </w:sdtEndPr>
              <w:sdtContent>
                <w:tc>
                  <w:tcPr>
                    <w:tcW w:w="9855" w:type="dxa"/>
                    <w:tcBorders>
                      <w:bottom w:val="single" w:color="4F81BD" w:themeColor="accent1" w:sz="4" w:space="0"/>
                    </w:tcBorders>
                    <w:vAlign w:val="center"/>
                  </w:tcPr>
                  <w:p>
                    <w:pPr>
                      <w:pStyle w:val="37"/>
                      <w:jc w:val="center"/>
                      <w:rPr>
                        <w:rFonts w:ascii="Arial" w:hAnsi="Arial" w:cs="Arial" w:eastAsiaTheme="majorEastAsia"/>
                        <w:sz w:val="24"/>
                        <w:szCs w:val="24"/>
                      </w:rPr>
                    </w:pPr>
                    <w:r>
                      <w:rPr>
                        <w:rFonts w:ascii="Arial" w:hAnsi="Arial" w:cs="Arial"/>
                        <w:b/>
                        <w:bCs/>
                        <w:sz w:val="24"/>
                        <w:szCs w:val="24"/>
                      </w:rPr>
                      <w:t>ESTUDO TÉCNICO PRELIMINAR – ETP</w:t>
                    </w:r>
                  </w:p>
                </w:tc>
              </w:sdtContent>
            </w:sdt>
          </w:tr>
          <w:tr>
            <w:tblPrEx>
              <w:tblLayout w:type="fixed"/>
              <w:tblCellMar>
                <w:top w:w="0" w:type="dxa"/>
                <w:left w:w="108" w:type="dxa"/>
                <w:bottom w:w="0" w:type="dxa"/>
                <w:right w:w="108" w:type="dxa"/>
              </w:tblCellMar>
            </w:tblPrEx>
            <w:trPr>
              <w:trHeight w:val="720" w:hRule="atLeast"/>
              <w:jc w:val="center"/>
            </w:trPr>
            <w:tc>
              <w:tcPr>
                <w:tcW w:w="9855" w:type="dxa"/>
                <w:tcBorders>
                  <w:top w:val="single" w:color="4F81BD" w:themeColor="accent1" w:sz="4" w:space="0"/>
                </w:tcBorders>
                <w:vAlign w:val="center"/>
              </w:tcPr>
              <w:p>
                <w:pPr>
                  <w:pStyle w:val="37"/>
                  <w:jc w:val="center"/>
                  <w:rPr>
                    <w:rFonts w:ascii="Arial" w:hAnsi="Arial" w:cs="Arial" w:eastAsiaTheme="majorEastAsia"/>
                    <w:sz w:val="24"/>
                    <w:szCs w:val="24"/>
                  </w:rPr>
                </w:pPr>
              </w:p>
              <w:p>
                <w:pPr>
                  <w:pStyle w:val="37"/>
                  <w:jc w:val="both"/>
                  <w:rPr>
                    <w:rFonts w:ascii="Arial" w:hAnsi="Arial" w:cs="Arial" w:eastAsiaTheme="majorEastAsia"/>
                    <w:sz w:val="24"/>
                    <w:szCs w:val="24"/>
                  </w:rPr>
                </w:pPr>
                <w:r>
                  <w:rPr>
                    <w:rFonts w:ascii="Arial" w:hAnsi="Arial" w:cs="Arial" w:eastAsiaTheme="majorEastAsia"/>
                    <w:sz w:val="24"/>
                    <w:szCs w:val="24"/>
                  </w:rPr>
                  <w:t>CONSTRUÇÃO DE 04 (QUATRO) PRAÇAS, SENDO 01 (UMA) NO MUNICÍPIO DE BAIANÓPOLIS, 01 (UMA) NO MUNICÍPIO DE IBOTIRAMA, 01 (UMA) NO MUNICÍPIO DE ILHÉUS E 01 (UMA) NO MUNICÍPIO DE LIVRAMENTO DE NOSSA SENHORA, E REQUALIFICAÇÃO DE 01 (UMA) PRAÇA NO MUNICÍPIO DE PORTO SEGURO, TODAS NO ESTADO DA BAHIA, ÁREA DE ABRANGÊNCIA DA 2ª SUPERINTENDÊNCIA REGIONAL DA CODEVASF.</w:t>
                </w: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b/>
                    <w:bCs/>
                    <w:sz w:val="24"/>
                    <w:szCs w:val="24"/>
                  </w:rPr>
                </w:pPr>
                <w:r>
                  <w:rPr>
                    <w:rFonts w:ascii="Arial" w:hAnsi="Arial" w:cs="Arial"/>
                    <w:b/>
                    <w:bCs/>
                    <w:sz w:val="24"/>
                    <w:szCs w:val="24"/>
                  </w:rPr>
                  <w:t>Novembro/2021</w:t>
                </w: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b/>
                    <w:bCs/>
                    <w:sz w:val="24"/>
                    <w:szCs w:val="24"/>
                  </w:rPr>
                </w:pPr>
              </w:p>
            </w:tc>
          </w:tr>
        </w:tbl>
        <w:p>
          <w:pPr>
            <w:spacing w:line="240" w:lineRule="auto"/>
            <w:rPr>
              <w:rFonts w:ascii="Arial" w:hAnsi="Arial" w:cs="Arial"/>
              <w:sz w:val="24"/>
              <w:szCs w:val="24"/>
            </w:rPr>
          </w:pPr>
        </w:p>
        <w:tbl>
          <w:tblPr>
            <w:tblStyle w:val="24"/>
            <w:tblpPr w:leftFromText="187" w:rightFromText="187" w:horzAnchor="margin" w:tblpXSpec="center" w:tblpYSpec="bottom"/>
            <w:tblW w:w="9855" w:type="dxa"/>
            <w:tblInd w:w="0" w:type="dxa"/>
            <w:tblLayout w:type="fixed"/>
            <w:tblCellMar>
              <w:top w:w="0" w:type="dxa"/>
              <w:left w:w="108" w:type="dxa"/>
              <w:bottom w:w="0" w:type="dxa"/>
              <w:right w:w="108" w:type="dxa"/>
            </w:tblCellMar>
          </w:tblPr>
          <w:tblGrid>
            <w:gridCol w:w="9855"/>
          </w:tblGrid>
          <w:tr>
            <w:tblPrEx>
              <w:tblLayout w:type="fixed"/>
              <w:tblCellMar>
                <w:top w:w="0" w:type="dxa"/>
                <w:left w:w="108" w:type="dxa"/>
                <w:bottom w:w="0" w:type="dxa"/>
                <w:right w:w="108" w:type="dxa"/>
              </w:tblCellMar>
            </w:tblPrEx>
            <w:tc>
              <w:tcPr>
                <w:tcW w:w="9855" w:type="dxa"/>
              </w:tcPr>
              <w:p>
                <w:pPr>
                  <w:pStyle w:val="37"/>
                  <w:rPr>
                    <w:rFonts w:ascii="Arial" w:hAnsi="Arial" w:cs="Arial"/>
                    <w:sz w:val="24"/>
                    <w:szCs w:val="24"/>
                  </w:rPr>
                </w:pPr>
              </w:p>
            </w:tc>
          </w:tr>
        </w:tbl>
        <w:sdt>
          <w:sdtPr>
            <w:rPr>
              <w:rFonts w:ascii="Arial" w:hAnsi="Arial" w:cs="Arial" w:eastAsiaTheme="minorHAnsi"/>
              <w:b w:val="0"/>
              <w:bCs w:val="0"/>
              <w:color w:val="auto"/>
              <w:sz w:val="24"/>
              <w:szCs w:val="24"/>
            </w:rPr>
            <w:id w:val="808122982"/>
            <w:docPartObj>
              <w:docPartGallery w:val="Table of Contents"/>
              <w:docPartUnique/>
            </w:docPartObj>
          </w:sdtPr>
          <w:sdtEndPr>
            <w:rPr>
              <w:rFonts w:ascii="Arial" w:hAnsi="Arial" w:cs="Arial" w:eastAsiaTheme="minorHAnsi"/>
              <w:b w:val="0"/>
              <w:bCs w:val="0"/>
              <w:color w:val="auto"/>
              <w:sz w:val="24"/>
              <w:szCs w:val="24"/>
            </w:rPr>
          </w:sdtEndPr>
          <w:sdtContent>
            <w:p>
              <w:pPr>
                <w:pStyle w:val="43"/>
                <w:spacing w:line="240" w:lineRule="auto"/>
                <w:rPr>
                  <w:rFonts w:ascii="Arial" w:hAnsi="Arial" w:cs="Arial"/>
                  <w:color w:val="auto"/>
                  <w:sz w:val="22"/>
                  <w:szCs w:val="22"/>
                </w:rPr>
              </w:pPr>
              <w:r>
                <w:rPr>
                  <w:rFonts w:ascii="Arial" w:hAnsi="Arial" w:cs="Arial"/>
                  <w:color w:val="auto"/>
                  <w:sz w:val="22"/>
                  <w:szCs w:val="22"/>
                </w:rPr>
                <w:t>CONTEÚDO</w:t>
              </w:r>
            </w:p>
            <w:p>
              <w:pPr>
                <w:spacing w:line="240" w:lineRule="auto"/>
                <w:rPr>
                  <w:rFonts w:ascii="Arial" w:hAnsi="Arial" w:cs="Arial"/>
                </w:rPr>
              </w:pPr>
            </w:p>
            <w:p>
              <w:pPr>
                <w:pStyle w:val="18"/>
                <w:numPr>
                  <w:ilvl w:val="0"/>
                  <w:numId w:val="0"/>
                </w:numPr>
                <w:tabs>
                  <w:tab w:val="left" w:pos="1212"/>
                  <w:tab w:val="right" w:leader="dot" w:pos="9629"/>
                </w:tabs>
                <w:spacing w:line="240" w:lineRule="auto"/>
                <w:ind w:left="720"/>
                <w:rPr>
                  <w:rFonts w:ascii="Arial" w:hAnsi="Arial" w:cs="Arial"/>
                  <w:lang w:eastAsia="pt-BR"/>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r>
                <w:fldChar w:fldCharType="begin"/>
              </w:r>
              <w:r>
                <w:instrText xml:space="preserve"> HYPERLINK \l "_Toc81472270" </w:instrText>
              </w:r>
              <w:r>
                <w:fldChar w:fldCharType="separate"/>
              </w:r>
              <w:r>
                <w:rPr>
                  <w:rStyle w:val="23"/>
                  <w:rFonts w:ascii="Arial" w:hAnsi="Arial" w:cs="Arial"/>
                </w:rPr>
                <w:t>1.</w:t>
              </w:r>
              <w:r>
                <w:rPr>
                  <w:rFonts w:ascii="Arial" w:hAnsi="Arial" w:cs="Arial"/>
                  <w:lang w:eastAsia="pt-BR"/>
                </w:rPr>
                <w:tab/>
              </w:r>
              <w:r>
                <w:rPr>
                  <w:rStyle w:val="23"/>
                  <w:rFonts w:ascii="Arial" w:hAnsi="Arial" w:cs="Arial"/>
                </w:rPr>
                <w:t>ESTUDO TÉCNICO PRELIMINAR</w:t>
              </w:r>
              <w:r>
                <w:rPr>
                  <w:rFonts w:ascii="Arial" w:hAnsi="Arial" w:cs="Arial"/>
                </w:rPr>
                <w:tab/>
              </w:r>
              <w:r>
                <w:rPr>
                  <w:rFonts w:ascii="Arial" w:hAnsi="Arial" w:cs="Arial"/>
                </w:rPr>
                <w:t>3</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"_Toc81472271" </w:instrText>
              </w:r>
              <w:r>
                <w:fldChar w:fldCharType="separate"/>
              </w:r>
              <w:r>
                <w:rPr>
                  <w:rStyle w:val="23"/>
                  <w:rFonts w:ascii="Arial" w:hAnsi="Arial" w:cs="Arial"/>
                </w:rPr>
                <w:t>2.</w:t>
              </w:r>
              <w:r>
                <w:rPr>
                  <w:rFonts w:ascii="Arial" w:hAnsi="Arial" w:cs="Arial"/>
                  <w:lang w:eastAsia="pt-BR"/>
                </w:rPr>
                <w:tab/>
              </w:r>
              <w:r>
                <w:rPr>
                  <w:rStyle w:val="23"/>
                  <w:rFonts w:ascii="Arial" w:hAnsi="Arial" w:cs="Arial"/>
                </w:rPr>
                <w:t>CONTEXTUALIZAÇÃO</w:t>
              </w:r>
              <w:r>
                <w:rPr>
                  <w:rFonts w:ascii="Arial" w:hAnsi="Arial" w:cs="Arial"/>
                </w:rPr>
                <w:tab/>
              </w:r>
              <w:r>
                <w:rPr>
                  <w:rFonts w:ascii="Arial" w:hAnsi="Arial" w:cs="Arial"/>
                </w:rPr>
                <w:t>3</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"_Toc81472272" </w:instrText>
              </w:r>
              <w:r>
                <w:fldChar w:fldCharType="separate"/>
              </w:r>
              <w:r>
                <w:rPr>
                  <w:rStyle w:val="23"/>
                  <w:rFonts w:ascii="Arial" w:hAnsi="Arial" w:cs="Arial"/>
                </w:rPr>
                <w:t>3.</w:t>
              </w:r>
              <w:r>
                <w:rPr>
                  <w:rFonts w:ascii="Arial" w:hAnsi="Arial" w:cs="Arial"/>
                  <w:lang w:eastAsia="pt-BR"/>
                </w:rPr>
                <w:tab/>
              </w:r>
              <w:r>
                <w:rPr>
                  <w:rStyle w:val="23"/>
                  <w:rFonts w:ascii="Arial" w:hAnsi="Arial" w:cs="Arial"/>
                </w:rPr>
                <w:t>DESCRIÇÃO DA NECESSIDADE DA CONTRATAÇÃO</w:t>
              </w:r>
              <w:r>
                <w:rPr>
                  <w:rFonts w:ascii="Arial" w:hAnsi="Arial" w:cs="Arial"/>
                </w:rPr>
                <w:tab/>
              </w:r>
              <w:r>
                <w:rPr>
                  <w:rFonts w:ascii="Arial" w:hAnsi="Arial" w:cs="Arial"/>
                </w:rPr>
                <w:fldChar w:fldCharType="begin"/>
              </w:r>
              <w:r>
                <w:rPr>
                  <w:rFonts w:ascii="Arial" w:hAnsi="Arial" w:cs="Arial"/>
                </w:rPr>
                <w:instrText xml:space="preserve"> PAGEREF _Toc81472272 \h </w:instrText>
              </w:r>
              <w:r>
                <w:rPr>
                  <w:rFonts w:ascii="Arial" w:hAnsi="Arial" w:cs="Arial"/>
                </w:rPr>
                <w:fldChar w:fldCharType="separate"/>
              </w:r>
              <w:r>
                <w:rPr>
                  <w:rFonts w:ascii="Arial" w:hAnsi="Arial" w:cs="Arial"/>
                </w:rPr>
                <w:t>3</w:t>
              </w:r>
              <w:r>
                <w:rPr>
                  <w:rFonts w:ascii="Arial" w:hAnsi="Arial" w:cs="Arial"/>
                </w:rPr>
                <w:fldChar w:fldCharType="end"/>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"_Toc81472273" </w:instrText>
              </w:r>
              <w:r>
                <w:fldChar w:fldCharType="separate"/>
              </w:r>
              <w:r>
                <w:rPr>
                  <w:rStyle w:val="23"/>
                  <w:rFonts w:ascii="Arial" w:hAnsi="Arial" w:cs="Arial"/>
                </w:rPr>
                <w:t>4.</w:t>
              </w:r>
              <w:r>
                <w:rPr>
                  <w:rFonts w:ascii="Arial" w:hAnsi="Arial" w:cs="Arial"/>
                  <w:lang w:eastAsia="pt-BR"/>
                </w:rPr>
                <w:tab/>
              </w:r>
              <w:r>
                <w:rPr>
                  <w:rStyle w:val="23"/>
                  <w:rFonts w:ascii="Arial" w:hAnsi="Arial" w:cs="Arial"/>
                </w:rPr>
                <w:t>DEFINIÇÃO DA DEMANDA</w:t>
              </w:r>
              <w:r>
                <w:rPr>
                  <w:rFonts w:ascii="Arial" w:hAnsi="Arial" w:cs="Arial"/>
                </w:rPr>
                <w:tab/>
              </w:r>
              <w:r>
                <w:rPr>
                  <w:rFonts w:ascii="Arial" w:hAnsi="Arial" w:cs="Arial"/>
                </w:rPr>
                <w:fldChar w:fldCharType="begin"/>
              </w:r>
              <w:r>
                <w:rPr>
                  <w:rFonts w:ascii="Arial" w:hAnsi="Arial" w:cs="Arial"/>
                </w:rPr>
                <w:instrText xml:space="preserve"> PAGEREF _Toc81472273 \h </w:instrText>
              </w:r>
              <w:r>
                <w:rPr>
                  <w:rFonts w:ascii="Arial" w:hAnsi="Arial" w:cs="Arial"/>
                </w:rPr>
                <w:fldChar w:fldCharType="separate"/>
              </w:r>
              <w:r>
                <w:rPr>
                  <w:rFonts w:ascii="Arial" w:hAnsi="Arial" w:cs="Arial"/>
                </w:rPr>
                <w:t>4</w:t>
              </w:r>
              <w:r>
                <w:rPr>
                  <w:rFonts w:ascii="Arial" w:hAnsi="Arial" w:cs="Arial"/>
                </w:rPr>
                <w:fldChar w:fldCharType="end"/>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"_Toc81472274" </w:instrText>
              </w:r>
              <w:r>
                <w:fldChar w:fldCharType="separate"/>
              </w:r>
              <w:r>
                <w:rPr>
                  <w:rStyle w:val="23"/>
                  <w:rFonts w:ascii="Arial" w:hAnsi="Arial" w:cs="Arial"/>
                </w:rPr>
                <w:t>5.</w:t>
              </w:r>
              <w:r>
                <w:rPr>
                  <w:rFonts w:ascii="Arial" w:hAnsi="Arial" w:cs="Arial"/>
                  <w:lang w:eastAsia="pt-BR"/>
                </w:rPr>
                <w:tab/>
              </w:r>
              <w:r>
                <w:rPr>
                  <w:rStyle w:val="23"/>
                  <w:rFonts w:ascii="Arial" w:hAnsi="Arial" w:cs="Arial"/>
                </w:rPr>
                <w:t>REQUISITOS NECESSÁRIOS À SOLUÇÃO</w:t>
              </w:r>
              <w:r>
                <w:rPr>
                  <w:rFonts w:ascii="Arial" w:hAnsi="Arial" w:cs="Arial"/>
                </w:rPr>
                <w:tab/>
              </w:r>
              <w:r>
                <w:rPr>
                  <w:rFonts w:ascii="Arial" w:hAnsi="Arial" w:cs="Arial"/>
                </w:rPr>
                <w:t>4</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"_Toc81472276" </w:instrText>
              </w:r>
              <w:r>
                <w:fldChar w:fldCharType="separate"/>
              </w:r>
              <w:r>
                <w:rPr>
                  <w:rStyle w:val="23"/>
                  <w:rFonts w:ascii="Arial" w:hAnsi="Arial" w:cs="Arial"/>
                </w:rPr>
                <w:t>6.</w:t>
              </w:r>
              <w:r>
                <w:rPr>
                  <w:rFonts w:ascii="Arial" w:hAnsi="Arial" w:cs="Arial"/>
                  <w:lang w:eastAsia="pt-BR"/>
                </w:rPr>
                <w:tab/>
              </w:r>
              <w:r>
                <w:rPr>
                  <w:rStyle w:val="23"/>
                  <w:rFonts w:ascii="Arial" w:hAnsi="Arial" w:cs="Arial"/>
                </w:rPr>
                <w:t>DESCRIÇÃO DA SOLUÇÃO</w:t>
              </w:r>
              <w:r>
                <w:rPr>
                  <w:rFonts w:ascii="Arial" w:hAnsi="Arial" w:cs="Arial"/>
                </w:rPr>
                <w:tab/>
              </w:r>
              <w:r>
                <w:rPr>
                  <w:rFonts w:ascii="Arial" w:hAnsi="Arial" w:cs="Arial"/>
                </w:rPr>
                <w:t>5</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"_Toc81472277" </w:instrText>
              </w:r>
              <w:r>
                <w:fldChar w:fldCharType="separate"/>
              </w:r>
              <w:r>
                <w:rPr>
                  <w:rStyle w:val="23"/>
                  <w:rFonts w:ascii="Arial" w:hAnsi="Arial" w:cs="Arial"/>
                </w:rPr>
                <w:t>7.</w:t>
              </w:r>
              <w:r>
                <w:rPr>
                  <w:rFonts w:ascii="Arial" w:hAnsi="Arial" w:cs="Arial"/>
                  <w:lang w:eastAsia="pt-BR"/>
                </w:rPr>
                <w:tab/>
              </w:r>
              <w:r>
                <w:rPr>
                  <w:rStyle w:val="23"/>
                  <w:rFonts w:ascii="Arial" w:hAnsi="Arial" w:cs="Arial"/>
                </w:rPr>
                <w:t>ESTIMATIVA DAS QUANTIDADES A SEREM CONTRATADAS</w:t>
              </w:r>
              <w:r>
                <w:rPr>
                  <w:rFonts w:ascii="Arial" w:hAnsi="Arial" w:cs="Arial"/>
                </w:rPr>
                <w:tab/>
              </w:r>
              <w:r>
                <w:rPr>
                  <w:rFonts w:ascii="Arial" w:hAnsi="Arial" w:cs="Arial"/>
                </w:rPr>
                <w:t>11</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"_Toc81472278" </w:instrText>
              </w:r>
              <w:r>
                <w:fldChar w:fldCharType="separate"/>
              </w:r>
              <w:r>
                <w:rPr>
                  <w:rStyle w:val="23"/>
                  <w:rFonts w:ascii="Arial" w:hAnsi="Arial" w:cs="Arial"/>
                </w:rPr>
                <w:t>8.</w:t>
              </w:r>
              <w:r>
                <w:rPr>
                  <w:rFonts w:ascii="Arial" w:hAnsi="Arial" w:cs="Arial"/>
                  <w:lang w:eastAsia="pt-BR"/>
                </w:rPr>
                <w:tab/>
              </w:r>
              <w:r>
                <w:rPr>
                  <w:rStyle w:val="23"/>
                  <w:rFonts w:ascii="Arial" w:hAnsi="Arial" w:cs="Arial"/>
                </w:rPr>
                <w:t>PESQUISA DE MERCADO E ESTIMATIVA DO VALOR DA CONTRATAÇÃO</w:t>
              </w:r>
              <w:r>
                <w:rPr>
                  <w:rFonts w:ascii="Arial" w:hAnsi="Arial" w:cs="Arial"/>
                </w:rPr>
                <w:tab/>
              </w:r>
              <w:r>
                <w:rPr>
                  <w:rFonts w:ascii="Arial" w:hAnsi="Arial" w:cs="Arial"/>
                </w:rPr>
                <w:t>25</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"_Toc81472279" </w:instrText>
              </w:r>
              <w:r>
                <w:fldChar w:fldCharType="separate"/>
              </w:r>
              <w:r>
                <w:rPr>
                  <w:rStyle w:val="23"/>
                  <w:rFonts w:ascii="Arial" w:hAnsi="Arial" w:cs="Arial"/>
                </w:rPr>
                <w:t>9.</w:t>
              </w:r>
              <w:r>
                <w:rPr>
                  <w:rFonts w:ascii="Arial" w:hAnsi="Arial" w:cs="Arial"/>
                  <w:lang w:eastAsia="pt-BR"/>
                </w:rPr>
                <w:tab/>
              </w:r>
              <w:r>
                <w:rPr>
                  <w:rStyle w:val="23"/>
                  <w:rFonts w:ascii="Arial" w:hAnsi="Arial" w:cs="Arial"/>
                </w:rPr>
                <w:t>RESULTADOS PRETENDIDOS</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"_Toc81472280" </w:instrText>
              </w:r>
              <w:r>
                <w:fldChar w:fldCharType="separate"/>
              </w:r>
              <w:r>
                <w:rPr>
                  <w:rStyle w:val="23"/>
                  <w:rFonts w:ascii="Arial" w:hAnsi="Arial" w:cs="Arial"/>
                </w:rPr>
                <w:t>10.</w:t>
              </w:r>
              <w:r>
                <w:rPr>
                  <w:rFonts w:ascii="Arial" w:hAnsi="Arial" w:cs="Arial"/>
                  <w:lang w:eastAsia="pt-BR"/>
                </w:rPr>
                <w:tab/>
              </w:r>
              <w:r>
                <w:rPr>
                  <w:rStyle w:val="23"/>
                  <w:rFonts w:ascii="Arial" w:hAnsi="Arial" w:cs="Arial"/>
                </w:rPr>
                <w:t>ALINHAMENTO DA DEMANDA COM O PLANEJAMENTO ESTRATÉGICO INSTITUCIONAL – PEI</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"_Toc81472281" </w:instrText>
              </w:r>
              <w:r>
                <w:fldChar w:fldCharType="separate"/>
              </w:r>
              <w:r>
                <w:rPr>
                  <w:rStyle w:val="23"/>
                  <w:rFonts w:ascii="Arial" w:hAnsi="Arial" w:cs="Arial"/>
                </w:rPr>
                <w:t>11.</w:t>
              </w:r>
              <w:r>
                <w:rPr>
                  <w:rFonts w:ascii="Arial" w:hAnsi="Arial" w:cs="Arial"/>
                  <w:lang w:eastAsia="pt-BR"/>
                </w:rPr>
                <w:tab/>
              </w:r>
              <w:r>
                <w:rPr>
                  <w:rStyle w:val="23"/>
                  <w:rFonts w:ascii="Arial" w:hAnsi="Arial" w:cs="Arial"/>
                </w:rPr>
                <w:t>PROVIDÊNCIAS ADOTADAS PREVIAMENTE À CELEBRAÇÃO DO CONTRATO</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"_Toc81472282" </w:instrText>
              </w:r>
              <w:r>
                <w:fldChar w:fldCharType="separate"/>
              </w:r>
              <w:r>
                <w:rPr>
                  <w:rStyle w:val="23"/>
                  <w:rFonts w:ascii="Arial" w:hAnsi="Arial" w:cs="Arial"/>
                </w:rPr>
                <w:t>12.</w:t>
              </w:r>
              <w:r>
                <w:rPr>
                  <w:rFonts w:ascii="Arial" w:hAnsi="Arial" w:cs="Arial"/>
                  <w:lang w:eastAsia="pt-BR"/>
                </w:rPr>
                <w:tab/>
              </w:r>
              <w:r>
                <w:rPr>
                  <w:rStyle w:val="23"/>
                  <w:rFonts w:ascii="Arial" w:hAnsi="Arial" w:cs="Arial"/>
                </w:rPr>
                <w:t>IMPACTOS AMBIENTAIS E RESPECTIVAS MEDIDAS DE TRATAMENTO – CRITÉRIOS DE SUSTENTABILIDADE AMBIENTAL</w:t>
              </w:r>
              <w:r>
                <w:rPr>
                  <w:rFonts w:ascii="Arial" w:hAnsi="Arial" w:cs="Arial"/>
                </w:rPr>
                <w:tab/>
              </w:r>
              <w:r>
                <w:rPr>
                  <w:rFonts w:ascii="Arial" w:hAnsi="Arial" w:cs="Arial"/>
                </w:rPr>
                <w:t>27</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"_Toc81472289" </w:instrText>
              </w:r>
              <w:r>
                <w:fldChar w:fldCharType="separate"/>
              </w:r>
              <w:r>
                <w:rPr>
                  <w:rStyle w:val="23"/>
                  <w:rFonts w:ascii="Arial" w:hAnsi="Arial" w:cs="Arial"/>
                </w:rPr>
                <w:t>13.</w:t>
              </w:r>
              <w:r>
                <w:rPr>
                  <w:rFonts w:ascii="Arial" w:hAnsi="Arial" w:cs="Arial"/>
                  <w:lang w:eastAsia="pt-BR"/>
                </w:rPr>
                <w:tab/>
              </w:r>
              <w:r>
                <w:rPr>
                  <w:rStyle w:val="23"/>
                  <w:rFonts w:ascii="Arial" w:hAnsi="Arial" w:cs="Arial"/>
                </w:rPr>
                <w:t>PARCELAMENTO DO OBJETO</w:t>
              </w:r>
              <w:r>
                <w:rPr>
                  <w:rFonts w:ascii="Arial" w:hAnsi="Arial" w:cs="Arial"/>
                </w:rPr>
                <w:tab/>
              </w:r>
              <w:r>
                <w:rPr>
                  <w:rFonts w:ascii="Arial" w:hAnsi="Arial" w:cs="Arial"/>
                </w:rPr>
                <w:t>27</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"_Toc81472290" </w:instrText>
              </w:r>
              <w:r>
                <w:fldChar w:fldCharType="separate"/>
              </w:r>
              <w:r>
                <w:rPr>
                  <w:rStyle w:val="23"/>
                  <w:rFonts w:ascii="Arial" w:hAnsi="Arial" w:cs="Arial"/>
                </w:rPr>
                <w:t>14.</w:t>
              </w:r>
              <w:r>
                <w:rPr>
                  <w:rFonts w:ascii="Arial" w:hAnsi="Arial" w:cs="Arial"/>
                  <w:lang w:eastAsia="pt-BR"/>
                </w:rPr>
                <w:tab/>
              </w:r>
              <w:r>
                <w:rPr>
                  <w:rStyle w:val="23"/>
                  <w:rFonts w:ascii="Arial" w:hAnsi="Arial" w:cs="Arial"/>
                </w:rPr>
                <w:t>CONTRATAÇÕES CORRELATAS E/OU INTERDEPENDENTES</w:t>
              </w:r>
              <w:r>
                <w:rPr>
                  <w:rFonts w:ascii="Arial" w:hAnsi="Arial" w:cs="Arial"/>
                </w:rPr>
                <w:tab/>
              </w:r>
              <w:r>
                <w:rPr>
                  <w:rFonts w:ascii="Arial" w:hAnsi="Arial" w:cs="Arial"/>
                </w:rPr>
                <w:t>27</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"_Toc81472291" </w:instrText>
              </w:r>
              <w:r>
                <w:fldChar w:fldCharType="separate"/>
              </w:r>
              <w:r>
                <w:rPr>
                  <w:rStyle w:val="23"/>
                  <w:rFonts w:ascii="Arial" w:hAnsi="Arial" w:cs="Arial"/>
                </w:rPr>
                <w:t>15.</w:t>
              </w:r>
              <w:r>
                <w:rPr>
                  <w:rFonts w:ascii="Arial" w:hAnsi="Arial" w:cs="Arial"/>
                  <w:lang w:eastAsia="pt-BR"/>
                </w:rPr>
                <w:tab/>
              </w:r>
              <w:r>
                <w:rPr>
                  <w:rStyle w:val="23"/>
                  <w:rFonts w:ascii="Arial" w:hAnsi="Arial" w:cs="Arial"/>
                </w:rPr>
                <w:t>MODALIDADE E TIPO DE LICITAÇÃO</w:t>
              </w:r>
              <w:r>
                <w:rPr>
                  <w:rFonts w:ascii="Arial" w:hAnsi="Arial" w:cs="Arial"/>
                </w:rPr>
                <w:tab/>
              </w:r>
              <w:r>
                <w:rPr>
                  <w:rFonts w:ascii="Arial" w:hAnsi="Arial" w:cs="Arial"/>
                </w:rPr>
                <w:t>28</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"_Toc81472293" </w:instrText>
              </w:r>
              <w:r>
                <w:fldChar w:fldCharType="separate"/>
              </w:r>
              <w:r>
                <w:rPr>
                  <w:rStyle w:val="23"/>
                  <w:rFonts w:ascii="Arial" w:hAnsi="Arial" w:cs="Arial"/>
                </w:rPr>
                <w:t>16.</w:t>
              </w:r>
              <w:r>
                <w:rPr>
                  <w:rFonts w:ascii="Arial" w:hAnsi="Arial" w:cs="Arial"/>
                  <w:lang w:eastAsia="pt-BR"/>
                </w:rPr>
                <w:tab/>
              </w:r>
              <w:r>
                <w:rPr>
                  <w:rStyle w:val="23"/>
                  <w:rFonts w:ascii="Arial" w:hAnsi="Arial" w:cs="Arial"/>
                </w:rPr>
                <w:t>CLASSIFICAÇÃO E INDICAÇÃO ORÇAMENTÁRIA</w:t>
              </w:r>
              <w:r>
                <w:rPr>
                  <w:rFonts w:ascii="Arial" w:hAnsi="Arial" w:cs="Arial"/>
                </w:rPr>
                <w:tab/>
              </w:r>
              <w:r>
                <w:rPr>
                  <w:rFonts w:ascii="Arial" w:hAnsi="Arial" w:cs="Arial"/>
                </w:rPr>
                <w:t>28</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"_Toc81472295" </w:instrText>
              </w:r>
              <w:r>
                <w:fldChar w:fldCharType="separate"/>
              </w:r>
              <w:r>
                <w:rPr>
                  <w:rStyle w:val="23"/>
                  <w:rFonts w:ascii="Arial" w:hAnsi="Arial" w:cs="Arial"/>
                </w:rPr>
                <w:t>17.</w:t>
              </w:r>
              <w:r>
                <w:rPr>
                  <w:rFonts w:ascii="Arial" w:hAnsi="Arial" w:cs="Arial"/>
                  <w:lang w:eastAsia="pt-BR"/>
                </w:rPr>
                <w:tab/>
              </w:r>
              <w:r>
                <w:rPr>
                  <w:rStyle w:val="23"/>
                  <w:rFonts w:ascii="Arial" w:hAnsi="Arial" w:cs="Arial"/>
                </w:rPr>
                <w:t>SOBRE A VIABILIDADE E RAZOABILIDADE DA CONTRATAÇÃO</w:t>
              </w:r>
              <w:r>
                <w:rPr>
                  <w:rFonts w:ascii="Arial" w:hAnsi="Arial" w:cs="Arial"/>
                </w:rPr>
                <w:tab/>
              </w:r>
              <w:r>
                <w:rPr>
                  <w:rFonts w:ascii="Arial" w:hAnsi="Arial" w:cs="Arial"/>
                </w:rPr>
                <w:t>28</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rPr>
                  <w:rFonts w:ascii="Arial" w:hAnsi="Arial" w:cs="Arial"/>
                </w:rPr>
                <w:fldChar w:fldCharType="begin"/>
              </w:r>
              <w:r>
                <w:rPr>
                  <w:rFonts w:ascii="Arial" w:hAnsi="Arial" w:cs="Arial"/>
                </w:rPr>
                <w:instrText xml:space="preserve"> HYPERLINK \l "_Toc81472296" </w:instrText>
              </w:r>
              <w:r>
                <w:rPr>
                  <w:rFonts w:ascii="Arial" w:hAnsi="Arial" w:cs="Arial"/>
                </w:rPr>
                <w:fldChar w:fldCharType="separate"/>
              </w:r>
              <w:r>
                <w:rPr>
                  <w:rStyle w:val="23"/>
                  <w:rFonts w:ascii="Arial" w:hAnsi="Arial" w:cs="Arial"/>
                </w:rPr>
                <w:t>18.</w:t>
              </w:r>
              <w:r>
                <w:rPr>
                  <w:rFonts w:ascii="Arial" w:hAnsi="Arial" w:cs="Arial"/>
                  <w:lang w:eastAsia="pt-BR"/>
                </w:rPr>
                <w:tab/>
              </w:r>
              <w:r>
                <w:rPr>
                  <w:rStyle w:val="23"/>
                  <w:rFonts w:ascii="Arial" w:hAnsi="Arial" w:cs="Arial"/>
                </w:rPr>
                <w:t>CONSIDERAÇÕES FINAIS</w:t>
              </w:r>
              <w:r>
                <w:rPr>
                  <w:rFonts w:ascii="Arial" w:hAnsi="Arial" w:cs="Arial"/>
                </w:rPr>
                <w:tab/>
              </w:r>
              <w:r>
                <w:rPr>
                  <w:rFonts w:ascii="Arial" w:hAnsi="Arial" w:cs="Arial"/>
                </w:rPr>
                <w:t>28</w:t>
              </w:r>
              <w:r>
                <w:rPr>
                  <w:rFonts w:ascii="Arial" w:hAnsi="Arial" w:cs="Arial"/>
                </w:rPr>
                <w:fldChar w:fldCharType="end"/>
              </w:r>
            </w:p>
            <w:p>
              <w:pPr>
                <w:spacing w:line="240" w:lineRule="auto"/>
                <w:rPr>
                  <w:rFonts w:ascii="Arial" w:hAnsi="Arial" w:cs="Arial"/>
                  <w:sz w:val="24"/>
                  <w:szCs w:val="24"/>
                </w:rPr>
              </w:pPr>
              <w:r>
                <w:rPr>
                  <w:rFonts w:ascii="Arial" w:hAnsi="Arial" w:cs="Arial"/>
                </w:rPr>
                <w:fldChar w:fldCharType="end"/>
              </w:r>
            </w:p>
          </w:sdtContent>
        </w:sdt>
        <w:p>
          <w:pPr>
            <w:spacing w:line="240" w:lineRule="auto"/>
            <w:rPr>
              <w:rFonts w:ascii="Arial" w:hAnsi="Arial" w:cs="Arial"/>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r>
            <w:rPr>
              <w:rFonts w:ascii="Arial" w:hAnsi="Arial" w:eastAsia="Calibri" w:cs="Arial"/>
              <w:b/>
              <w:sz w:val="24"/>
              <w:szCs w:val="24"/>
            </w:rPr>
            <w:tab/>
          </w:r>
        </w:p>
        <w:p>
          <w:pPr>
            <w:spacing w:line="240" w:lineRule="auto"/>
            <w:rPr>
              <w:rFonts w:ascii="Arial" w:hAnsi="Arial" w:cs="Arial"/>
              <w:b/>
              <w:sz w:val="24"/>
              <w:szCs w:val="24"/>
            </w:rPr>
          </w:pPr>
        </w:p>
      </w:sdtContent>
    </w:sdt>
    <w:p>
      <w:pPr>
        <w:pStyle w:val="2"/>
        <w:rPr>
          <w:rFonts w:cs="Arial"/>
          <w:sz w:val="24"/>
        </w:rPr>
      </w:pPr>
      <w:bookmarkStart w:id="0" w:name="_Toc81472270"/>
      <w:bookmarkStart w:id="1" w:name="_Ref81407306"/>
      <w:r>
        <w:rPr>
          <w:rFonts w:cs="Arial"/>
          <w:sz w:val="24"/>
        </w:rPr>
        <w:t>ESTUDO TÉCNICO PRELIMINAR</w:t>
      </w:r>
      <w:bookmarkEnd w:id="0"/>
      <w:bookmarkEnd w:id="1"/>
      <w:r>
        <w:rPr>
          <w:rFonts w:cs="Arial"/>
          <w:sz w:val="24"/>
        </w:rPr>
        <w:t xml:space="preserve"> </w:t>
      </w:r>
    </w:p>
    <w:p>
      <w:pPr>
        <w:autoSpaceDE w:val="0"/>
        <w:autoSpaceDN w:val="0"/>
        <w:adjustRightInd w:val="0"/>
        <w:spacing w:after="0" w:line="240" w:lineRule="auto"/>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Em atendimento à INSTRUÇÃO NORMATIVA Nº 40, de 22 de Maio de 2020, que dispõe sobre a elaboração dos Estudos Técnicos Preliminares (ETP) para a aquisição de bens e a contratação de serviços e obras, no âmbito da Administração Pública federal direta, autárquica e fundacional, e sobre o Sistema ETP digital.</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Estudo Técnico Preliminar (ETP) é o documento que integra a primeira fase de planejamento das contratações públicas e tem o objetivo de demonstrar a real necessidade da contratação; descreve as análises realizadas em termos de requisitos, alternativas, escolhas, resultados pretendidos e demais características, dando base ao anteprojeto, ao termo de referência ou ao projeto básico.</w:t>
      </w:r>
    </w:p>
    <w:p>
      <w:pPr>
        <w:autoSpaceDE w:val="0"/>
        <w:autoSpaceDN w:val="0"/>
        <w:adjustRightInd w:val="0"/>
        <w:spacing w:after="0" w:line="240" w:lineRule="auto"/>
        <w:jc w:val="both"/>
        <w:rPr>
          <w:rFonts w:ascii="Arial" w:hAnsi="Arial" w:cs="Arial"/>
          <w:sz w:val="24"/>
          <w:szCs w:val="24"/>
        </w:rPr>
      </w:pPr>
    </w:p>
    <w:p>
      <w:pPr>
        <w:pStyle w:val="2"/>
        <w:rPr>
          <w:rFonts w:cs="Arial"/>
          <w:sz w:val="24"/>
        </w:rPr>
      </w:pPr>
      <w:bookmarkStart w:id="2" w:name="_Toc81472271"/>
      <w:bookmarkStart w:id="3" w:name="_Ref81407311"/>
      <w:r>
        <w:rPr>
          <w:rFonts w:cs="Arial"/>
          <w:sz w:val="24"/>
        </w:rPr>
        <w:t>CONTEXTUALIZAÇÃO</w:t>
      </w:r>
      <w:bookmarkEnd w:id="2"/>
      <w:r>
        <w:rPr>
          <w:rFonts w:cs="Arial"/>
          <w:sz w:val="24"/>
        </w:rPr>
        <w:t xml:space="preserve"> </w:t>
      </w:r>
      <w:bookmarkEnd w:id="3"/>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rPr>
      </w:pPr>
      <w:r>
        <w:rPr>
          <w:rFonts w:ascii="Arial" w:hAnsi="Arial" w:cs="Arial"/>
        </w:rPr>
        <w:t xml:space="preserve">A CODEVASF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 </w:t>
      </w:r>
    </w:p>
    <w:p>
      <w:pPr>
        <w:pStyle w:val="29"/>
        <w:jc w:val="both"/>
        <w:rPr>
          <w:rFonts w:ascii="Arial" w:hAnsi="Arial" w:cs="Arial"/>
        </w:rPr>
      </w:pPr>
    </w:p>
    <w:p>
      <w:pPr>
        <w:pStyle w:val="29"/>
        <w:jc w:val="both"/>
        <w:rPr>
          <w:rFonts w:ascii="Arial" w:hAnsi="Arial" w:cs="Arial"/>
        </w:rPr>
      </w:pPr>
      <w:r>
        <w:rPr>
          <w:rFonts w:ascii="Arial" w:hAnsi="Arial" w:cs="Arial"/>
        </w:rPr>
        <w:t xml:space="preserve">A Companhia de Desenvolvimento dos Vales do São Francisco e do Parnaíba – CODEVASF tem como Missão “Desenvolver bacias hidrográficas de forma integrada e sustentável, contribuindo para a redução das desigualdades regionais”, norteada pelos objetivos fundamentais da República Federativa do Brasil previstos na Carta Magna, em especial, o de erradicar a pobreza e a marginalização e reduzir as desigualdades sociais e regionais (art. 3º, inciso III), sendo uma organização que transforma a realidade das regiões onde atua, com foco na melhoria das condições sociais, econômicas e ambientais. </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Com o objetivo de cumprir a sua missão, a CODEVASF desenvolve, através de execução direta ou mediante parcerias firmadas com diferentes entes federativos, iniciativas materializadas na forma de obras e ações.</w:t>
      </w:r>
    </w:p>
    <w:p>
      <w:pPr>
        <w:pStyle w:val="29"/>
        <w:jc w:val="both"/>
        <w:rPr>
          <w:rFonts w:ascii="Arial" w:hAnsi="Arial" w:cs="Arial"/>
          <w:color w:val="auto"/>
        </w:rPr>
      </w:pPr>
    </w:p>
    <w:p>
      <w:pPr>
        <w:pStyle w:val="2"/>
        <w:rPr>
          <w:rFonts w:cs="Arial"/>
          <w:sz w:val="24"/>
        </w:rPr>
      </w:pPr>
      <w:bookmarkStart w:id="4" w:name="_Toc81472272"/>
      <w:r>
        <w:rPr>
          <w:rFonts w:cs="Arial"/>
          <w:sz w:val="24"/>
        </w:rPr>
        <w:t>DESCRIÇÃO DA NECESSIDADE DA CONTRATAÇÃO</w:t>
      </w:r>
      <w:bookmarkEnd w:id="4"/>
    </w:p>
    <w:p>
      <w:pPr>
        <w:pStyle w:val="29"/>
        <w:jc w:val="both"/>
        <w:rPr>
          <w:rFonts w:ascii="Arial" w:hAnsi="Arial" w:cs="Arial"/>
          <w:color w:val="auto"/>
        </w:rPr>
      </w:pPr>
    </w:p>
    <w:p>
      <w:pPr>
        <w:pStyle w:val="29"/>
        <w:jc w:val="both"/>
        <w:rPr>
          <w:rFonts w:ascii="Arial" w:hAnsi="Arial" w:cs="Arial"/>
          <w:bCs/>
        </w:rPr>
      </w:pPr>
      <w:r>
        <w:rPr>
          <w:rFonts w:ascii="Arial" w:hAnsi="Arial" w:cs="Arial"/>
          <w:color w:val="auto"/>
        </w:rPr>
        <w:t>A elaboração deste Estudo visa subsidiar a abertura de processo licitatório, na modalidade Eletrônica (Lei nº 13.303 - Menor preço</w:t>
      </w:r>
      <w:r>
        <w:rPr>
          <w:rFonts w:ascii="Arial" w:hAnsi="Arial" w:cs="Arial"/>
        </w:rPr>
        <w:t xml:space="preserve"> por lote), visando à contratação de empresa do ramo de engenharia para execução de obras e serviços relativos à Construção de 04 (quatro) praças</w:t>
      </w:r>
      <w:r>
        <w:rPr>
          <w:rFonts w:ascii="Arial" w:hAnsi="Arial" w:eastAsia="Calibri" w:cs="Arial"/>
          <w:bCs/>
        </w:rPr>
        <w:t xml:space="preserve"> e Requalificação de 01 (uma) praça </w:t>
      </w:r>
      <w:r>
        <w:rPr>
          <w:rFonts w:ascii="Arial" w:hAnsi="Arial" w:cs="Arial"/>
          <w:bCs/>
        </w:rPr>
        <w:t>em municípios localizados na área de atuação da 2ª Superintendência Regional da CODEVASF, no estado da Bahia.</w:t>
      </w:r>
    </w:p>
    <w:p>
      <w:pPr>
        <w:pStyle w:val="29"/>
        <w:jc w:val="both"/>
        <w:rPr>
          <w:rFonts w:ascii="Arial" w:hAnsi="Arial" w:cs="Arial"/>
          <w:bCs/>
        </w:rPr>
      </w:pPr>
    </w:p>
    <w:p>
      <w:pPr>
        <w:pStyle w:val="29"/>
        <w:jc w:val="both"/>
        <w:rPr>
          <w:rFonts w:ascii="Arial" w:hAnsi="Arial" w:cs="Arial"/>
          <w:color w:val="auto"/>
        </w:rPr>
      </w:pPr>
      <w:r>
        <w:rPr>
          <w:rFonts w:ascii="Arial" w:hAnsi="Arial" w:cs="Arial"/>
          <w:color w:val="auto"/>
        </w:rPr>
        <w:t>Quanto à necessidade da contratação, justificam-se as razões de interesse público, levando em consideração as políticas públicas voltadas para a solução das carências do semiárido nordestino, que apesar de terem proporcionado alguns progressos, ainda não conseguiram melhorar substancialmente os indicadores sociais da região, os quais se situam entre os mais baixos do país.</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A construção ou requalificação de uma praça é de fundamental importância, pois possibilitará à população local, dispor de um espaço estruturado e bem situado para o lazer, realização de feiras e eventos voltados à arte e cultura e comercialização de produtos oriundos da agricultura familiar, contribuindo assim na melhoria da qualidade de vida e desenvolvimento local.</w:t>
      </w:r>
    </w:p>
    <w:p>
      <w:pPr>
        <w:pStyle w:val="29"/>
        <w:jc w:val="both"/>
        <w:rPr>
          <w:rFonts w:ascii="Arial" w:hAnsi="Arial" w:cs="Arial"/>
          <w:color w:val="auto"/>
        </w:rPr>
      </w:pPr>
    </w:p>
    <w:p>
      <w:pPr>
        <w:pStyle w:val="2"/>
        <w:rPr>
          <w:rFonts w:cs="Arial"/>
          <w:sz w:val="24"/>
        </w:rPr>
      </w:pPr>
      <w:bookmarkStart w:id="5" w:name="_Ref81407314"/>
      <w:bookmarkStart w:id="6" w:name="_Toc81472273"/>
      <w:r>
        <w:rPr>
          <w:rFonts w:cs="Arial"/>
          <w:sz w:val="24"/>
        </w:rPr>
        <w:t>DEFINIÇÃO DA DEMANDA</w:t>
      </w:r>
      <w:bookmarkEnd w:id="5"/>
      <w:bookmarkEnd w:id="6"/>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Este ETP dispõe sobre a contratação de empresa do ramo de engenharia para execução de obras e serviços de engenharia relativos à Construção de 04 (quatro) praças, sendo 01 (uma) no município de Baianópolis, 01 (uma) no município de Ibotirama, 01 (uma) no município de Ilhéus e 01 (uma) no município de Livramento de Nossa Senhora, e Requalificação de 01 (uma) praça no município de Porto Seguro, todas no estado da Bahia, área de abrangência da 2ª Superintendência Regional da CODEVASF.</w:t>
      </w:r>
    </w:p>
    <w:p>
      <w:pPr>
        <w:pStyle w:val="29"/>
        <w:jc w:val="both"/>
        <w:rPr>
          <w:rFonts w:ascii="Arial" w:hAnsi="Arial" w:cs="Arial"/>
        </w:rPr>
      </w:pPr>
    </w:p>
    <w:p>
      <w:pPr>
        <w:pStyle w:val="29"/>
        <w:jc w:val="both"/>
        <w:rPr>
          <w:rFonts w:ascii="Arial" w:hAnsi="Arial" w:cs="Arial"/>
        </w:rPr>
      </w:pPr>
      <w:r>
        <w:rPr>
          <w:rFonts w:ascii="Arial" w:hAnsi="Arial" w:cs="Arial"/>
        </w:rPr>
        <w:t xml:space="preserve">Tal demanda originou-se a partir de recursos oriundos de parlamentares, previstos na LOA/2021, destinados ao atendimento de políticas públicas voltadas para a solução das carências do semiárido nordestino e outras regiões, dado que, apesar de terem proporcionado alguns progressos, ainda não conseguiram melhorar substancialmente os indicadores sociais da região, os quais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infraestrutura, principalmente das comunidades difusas no Nordeste brasileiro, sob a gestão da 2ª Superintendência Regional da CODEVASF. </w:t>
      </w:r>
    </w:p>
    <w:p>
      <w:pPr>
        <w:pStyle w:val="29"/>
        <w:jc w:val="both"/>
        <w:rPr>
          <w:rFonts w:ascii="Arial" w:hAnsi="Arial" w:cs="Arial"/>
          <w:color w:val="auto"/>
        </w:rPr>
      </w:pPr>
    </w:p>
    <w:p>
      <w:pPr>
        <w:pStyle w:val="2"/>
        <w:rPr>
          <w:rFonts w:cs="Arial"/>
          <w:sz w:val="24"/>
        </w:rPr>
      </w:pPr>
      <w:bookmarkStart w:id="7" w:name="_Ref81407315"/>
      <w:bookmarkStart w:id="8" w:name="_Toc81472274"/>
      <w:r>
        <w:rPr>
          <w:rFonts w:cs="Arial"/>
          <w:sz w:val="24"/>
        </w:rPr>
        <w:t>REQUISITOS NECESSÁRIOS À SOLUÇÃO</w:t>
      </w:r>
      <w:bookmarkEnd w:id="7"/>
      <w:bookmarkEnd w:id="8"/>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rPr>
      </w:pPr>
      <w:r>
        <w:rPr>
          <w:rFonts w:ascii="Arial" w:hAnsi="Arial" w:cs="Arial"/>
        </w:rPr>
        <w:t>A CODEVASF tem entre suas atribuições dar as diretrizes para os projetos e ações de desenvolvimento integrado e infraestrutura nas áreas de sua atuação, bem como cuidar de sua gestão. Cabe a Área de Desenvolvimento Integrado e Infraestrutura da empresa coordenar as ações de articulação e integração com os demais órgãos públicos, privados e sociedade civil organizada, envolvidos com a revitalização e com a gestão territorial das bacias hidrográficas.</w:t>
      </w:r>
    </w:p>
    <w:p>
      <w:pPr>
        <w:pStyle w:val="29"/>
        <w:jc w:val="both"/>
        <w:rPr>
          <w:rFonts w:ascii="Arial" w:hAnsi="Arial" w:cs="Arial"/>
        </w:rPr>
      </w:pPr>
    </w:p>
    <w:p>
      <w:pPr>
        <w:pStyle w:val="29"/>
        <w:jc w:val="both"/>
        <w:rPr>
          <w:rFonts w:ascii="Arial" w:hAnsi="Arial" w:cs="Arial"/>
        </w:rPr>
      </w:pPr>
      <w:r>
        <w:rPr>
          <w:rFonts w:ascii="Arial" w:hAnsi="Arial" w:cs="Arial"/>
        </w:rPr>
        <w:t>Pretende-se contratar empresa(s) idônea(s) para execução dos serviços propostos, visando atender demanda oriunda de emendas parlamentares e necessidades da população da área de abrangência da 2ª Superintendência Regional da Codevasf, no que se refere à construção e requalificação de praças.</w:t>
      </w:r>
    </w:p>
    <w:p>
      <w:pPr>
        <w:pStyle w:val="29"/>
        <w:jc w:val="both"/>
        <w:rPr>
          <w:rFonts w:ascii="Arial" w:hAnsi="Arial" w:cs="Arial"/>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1"/>
          <w:numId w:val="6"/>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Dos normativos que disciplinam a contratação:</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 procedimento obedecerá, integralmente, aos seguintes normativos:</w:t>
      </w:r>
    </w:p>
    <w:p>
      <w:pPr>
        <w:autoSpaceDE w:val="0"/>
        <w:autoSpaceDN w:val="0"/>
        <w:adjustRightInd w:val="0"/>
        <w:spacing w:after="0" w:line="240" w:lineRule="auto"/>
        <w:jc w:val="both"/>
        <w:rPr>
          <w:rFonts w:ascii="Arial" w:hAnsi="Arial" w:cs="Arial"/>
          <w:sz w:val="24"/>
          <w:szCs w:val="24"/>
        </w:rPr>
      </w:pP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Lei nº 13.303/2016</w:t>
      </w: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IN nº 40/2020</w:t>
      </w: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Lei Complementar nº 123/2006</w:t>
      </w: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Decreto nº 8.538/2015</w:t>
      </w:r>
    </w:p>
    <w:p>
      <w:pPr>
        <w:pStyle w:val="3"/>
        <w:numPr>
          <w:ilvl w:val="0"/>
          <w:numId w:val="7"/>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Decreto nº 7.983/2013  </w:t>
      </w:r>
    </w:p>
    <w:p>
      <w:pPr>
        <w:autoSpaceDE w:val="0"/>
        <w:autoSpaceDN w:val="0"/>
        <w:adjustRightInd w:val="0"/>
        <w:spacing w:after="0" w:line="240" w:lineRule="auto"/>
        <w:jc w:val="both"/>
        <w:rPr>
          <w:rFonts w:ascii="Arial" w:hAnsi="Arial" w:cs="Arial"/>
          <w:sz w:val="24"/>
          <w:szCs w:val="24"/>
        </w:rPr>
      </w:pPr>
    </w:p>
    <w:p>
      <w:pPr>
        <w:pStyle w:val="3"/>
        <w:numPr>
          <w:ilvl w:val="1"/>
          <w:numId w:val="6"/>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Motivação da contratação:</w:t>
      </w:r>
    </w:p>
    <w:p>
      <w:pPr>
        <w:pStyle w:val="3"/>
        <w:autoSpaceDE w:val="0"/>
        <w:autoSpaceDN w:val="0"/>
        <w:adjustRightInd w:val="0"/>
        <w:spacing w:after="0" w:line="240" w:lineRule="auto"/>
        <w:ind w:left="567"/>
        <w:jc w:val="both"/>
        <w:rPr>
          <w:rFonts w:ascii="Arial" w:hAnsi="Arial" w:cs="Arial"/>
          <w:sz w:val="24"/>
          <w:szCs w:val="24"/>
        </w:rPr>
      </w:pPr>
    </w:p>
    <w:p>
      <w:pPr>
        <w:pStyle w:val="3"/>
        <w:numPr>
          <w:ilvl w:val="0"/>
          <w:numId w:val="8"/>
        </w:numPr>
        <w:spacing w:after="0" w:line="240" w:lineRule="auto"/>
        <w:ind w:hanging="720"/>
        <w:jc w:val="both"/>
        <w:rPr>
          <w:rFonts w:ascii="Arial" w:hAnsi="Arial" w:cs="Arial"/>
          <w:sz w:val="24"/>
          <w:szCs w:val="24"/>
        </w:rPr>
      </w:pPr>
      <w:r>
        <w:rPr>
          <w:rFonts w:ascii="Arial" w:hAnsi="Arial" w:cs="Arial"/>
          <w:sz w:val="24"/>
          <w:szCs w:val="24"/>
        </w:rPr>
        <w:t>Benefícios diretos e indiretos que resultarão da contratação:</w:t>
      </w:r>
    </w:p>
    <w:p>
      <w:pPr>
        <w:pStyle w:val="3"/>
        <w:numPr>
          <w:ilvl w:val="0"/>
          <w:numId w:val="9"/>
        </w:numPr>
        <w:spacing w:line="240" w:lineRule="auto"/>
        <w:jc w:val="both"/>
        <w:rPr>
          <w:rFonts w:ascii="Arial" w:hAnsi="Arial" w:cs="Arial"/>
          <w:sz w:val="24"/>
          <w:szCs w:val="24"/>
        </w:rPr>
      </w:pPr>
      <w:r>
        <w:rPr>
          <w:rFonts w:ascii="Arial" w:hAnsi="Arial" w:cs="Arial"/>
          <w:sz w:val="24"/>
          <w:szCs w:val="24"/>
        </w:rPr>
        <w:t>Realização de feiras e eventos de arte e cultura;</w:t>
      </w:r>
    </w:p>
    <w:p>
      <w:pPr>
        <w:pStyle w:val="3"/>
        <w:numPr>
          <w:ilvl w:val="0"/>
          <w:numId w:val="9"/>
        </w:numPr>
        <w:spacing w:line="240" w:lineRule="auto"/>
        <w:jc w:val="both"/>
        <w:rPr>
          <w:rFonts w:ascii="Arial" w:hAnsi="Arial" w:cs="Arial"/>
          <w:sz w:val="24"/>
          <w:szCs w:val="24"/>
        </w:rPr>
      </w:pPr>
      <w:r>
        <w:rPr>
          <w:rFonts w:ascii="Arial" w:hAnsi="Arial" w:cs="Arial"/>
          <w:sz w:val="24"/>
          <w:szCs w:val="24"/>
        </w:rPr>
        <w:t>Comercialização de produtos oriundos da agricultura familiar;</w:t>
      </w:r>
    </w:p>
    <w:p>
      <w:pPr>
        <w:pStyle w:val="3"/>
        <w:numPr>
          <w:ilvl w:val="0"/>
          <w:numId w:val="9"/>
        </w:numPr>
        <w:spacing w:line="240" w:lineRule="auto"/>
        <w:jc w:val="both"/>
        <w:rPr>
          <w:rFonts w:ascii="Arial" w:hAnsi="Arial" w:cs="Arial"/>
          <w:sz w:val="24"/>
          <w:szCs w:val="24"/>
        </w:rPr>
      </w:pPr>
      <w:r>
        <w:rPr>
          <w:rFonts w:ascii="Arial" w:hAnsi="Arial" w:cs="Arial"/>
          <w:sz w:val="24"/>
          <w:szCs w:val="24"/>
        </w:rPr>
        <w:t>Realização de eventos esportivos;</w:t>
      </w:r>
    </w:p>
    <w:p>
      <w:pPr>
        <w:pStyle w:val="3"/>
        <w:numPr>
          <w:ilvl w:val="0"/>
          <w:numId w:val="9"/>
        </w:numPr>
        <w:spacing w:line="240" w:lineRule="auto"/>
        <w:jc w:val="both"/>
        <w:rPr>
          <w:rFonts w:ascii="Arial" w:hAnsi="Arial" w:cs="Arial"/>
          <w:sz w:val="24"/>
          <w:szCs w:val="24"/>
        </w:rPr>
      </w:pPr>
      <w:r>
        <w:rPr>
          <w:rFonts w:ascii="Arial" w:hAnsi="Arial" w:cs="Arial"/>
          <w:sz w:val="24"/>
          <w:szCs w:val="24"/>
        </w:rPr>
        <w:t>Promoção de socialização;</w:t>
      </w:r>
    </w:p>
    <w:p>
      <w:pPr>
        <w:pStyle w:val="3"/>
        <w:numPr>
          <w:ilvl w:val="0"/>
          <w:numId w:val="9"/>
        </w:numPr>
        <w:spacing w:line="240" w:lineRule="auto"/>
        <w:jc w:val="both"/>
        <w:rPr>
          <w:rFonts w:ascii="Arial" w:hAnsi="Arial" w:cs="Arial"/>
          <w:sz w:val="24"/>
          <w:szCs w:val="24"/>
        </w:rPr>
      </w:pPr>
      <w:r>
        <w:rPr>
          <w:rFonts w:ascii="Arial" w:hAnsi="Arial" w:cs="Arial"/>
          <w:sz w:val="24"/>
          <w:szCs w:val="24"/>
        </w:rPr>
        <w:t xml:space="preserve">Lazer para as crianças que contarão com o parque infantil; </w:t>
      </w:r>
    </w:p>
    <w:p>
      <w:pPr>
        <w:pStyle w:val="3"/>
        <w:spacing w:line="240" w:lineRule="auto"/>
        <w:ind w:left="1428"/>
        <w:jc w:val="both"/>
        <w:rPr>
          <w:rFonts w:ascii="Arial" w:hAnsi="Arial" w:cs="Arial"/>
          <w:sz w:val="24"/>
          <w:szCs w:val="24"/>
        </w:rPr>
      </w:pPr>
    </w:p>
    <w:p>
      <w:pPr>
        <w:pStyle w:val="3"/>
        <w:numPr>
          <w:ilvl w:val="0"/>
          <w:numId w:val="8"/>
        </w:numPr>
        <w:spacing w:after="0" w:line="240" w:lineRule="auto"/>
        <w:ind w:hanging="720"/>
        <w:jc w:val="both"/>
        <w:rPr>
          <w:rFonts w:ascii="Arial" w:hAnsi="Arial" w:cs="Arial"/>
          <w:sz w:val="24"/>
          <w:szCs w:val="24"/>
        </w:rPr>
      </w:pPr>
      <w:r>
        <w:rPr>
          <w:rFonts w:ascii="Arial" w:hAnsi="Arial" w:cs="Arial"/>
          <w:sz w:val="24"/>
          <w:szCs w:val="24"/>
        </w:rPr>
        <w:t>Conexão entre a contratação e o planejamento existente:</w:t>
      </w:r>
    </w:p>
    <w:p>
      <w:pPr>
        <w:pStyle w:val="29"/>
        <w:jc w:val="both"/>
        <w:rPr>
          <w:rFonts w:ascii="Arial" w:hAnsi="Arial" w:cs="Arial"/>
        </w:rPr>
      </w:pPr>
    </w:p>
    <w:p>
      <w:pPr>
        <w:pStyle w:val="29"/>
        <w:jc w:val="both"/>
        <w:rPr>
          <w:rFonts w:ascii="Arial" w:hAnsi="Arial" w:cs="Arial"/>
        </w:rPr>
      </w:pPr>
      <w:r>
        <w:rPr>
          <w:rFonts w:ascii="Arial" w:hAnsi="Arial" w:cs="Arial"/>
        </w:rPr>
        <w:t>Com o objetivo de proporcionar o desenvolvimento local e melhorar a qualidade de vida da população, mediante previsão de recursos oriundos de emenda parlamentar, considera-se haver viabilidade e conveniência econômico-social em decorrência da contratação da execução das obras e serviços;</w:t>
      </w:r>
    </w:p>
    <w:p>
      <w:pPr>
        <w:pStyle w:val="29"/>
        <w:jc w:val="both"/>
        <w:rPr>
          <w:rFonts w:ascii="Arial" w:hAnsi="Arial" w:cs="Arial"/>
        </w:rPr>
      </w:pPr>
    </w:p>
    <w:p>
      <w:pPr>
        <w:pStyle w:val="29"/>
        <w:jc w:val="both"/>
        <w:rPr>
          <w:rFonts w:ascii="Arial" w:hAnsi="Arial" w:cs="Arial"/>
        </w:rPr>
      </w:pPr>
      <w:r>
        <w:rPr>
          <w:rFonts w:ascii="Arial" w:hAnsi="Arial" w:cs="Arial"/>
        </w:rPr>
        <w:t>As obras e serviços ora programados suprirão necessidades existentes e, estima-se, que estarão concluídas, por lote, no prazo máximo indicado abaixo, ficando assim atendida a ação proposta.</w:t>
      </w:r>
    </w:p>
    <w:p>
      <w:pPr>
        <w:pStyle w:val="29"/>
        <w:jc w:val="both"/>
        <w:rPr>
          <w:rFonts w:ascii="Arial" w:hAnsi="Arial" w:cs="Arial"/>
        </w:rPr>
      </w:pPr>
    </w:p>
    <w:tbl>
      <w:tblPr>
        <w:tblStyle w:val="25"/>
        <w:tblW w:w="8483" w:type="dxa"/>
        <w:tblInd w:w="54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009"/>
        <w:gridCol w:w="547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9" w:hRule="atLeast"/>
        </w:trPr>
        <w:tc>
          <w:tcPr>
            <w:tcW w:w="3009" w:type="dxa"/>
            <w:vAlign w:val="center"/>
          </w:tcPr>
          <w:p>
            <w:pPr>
              <w:spacing w:after="0" w:line="240" w:lineRule="auto"/>
              <w:rPr>
                <w:rFonts w:ascii="Arial" w:hAnsi="Arial" w:cs="Arial"/>
                <w:b/>
                <w:sz w:val="20"/>
                <w:szCs w:val="20"/>
              </w:rPr>
            </w:pPr>
            <w:r>
              <w:rPr>
                <w:rFonts w:ascii="Arial" w:hAnsi="Arial" w:cs="Arial"/>
                <w:b/>
                <w:sz w:val="20"/>
                <w:szCs w:val="20"/>
              </w:rPr>
              <w:t>Lote / Município</w:t>
            </w:r>
          </w:p>
        </w:tc>
        <w:tc>
          <w:tcPr>
            <w:tcW w:w="5474" w:type="dxa"/>
            <w:vAlign w:val="center"/>
          </w:tcPr>
          <w:p>
            <w:pPr>
              <w:spacing w:after="0" w:line="240" w:lineRule="auto"/>
              <w:ind w:left="175" w:hanging="175"/>
              <w:rPr>
                <w:rFonts w:ascii="Arial" w:hAnsi="Arial" w:cs="Arial"/>
                <w:b/>
                <w:sz w:val="20"/>
                <w:szCs w:val="20"/>
              </w:rPr>
            </w:pPr>
            <w:r>
              <w:rPr>
                <w:rFonts w:ascii="Arial" w:hAnsi="Arial" w:cs="Arial"/>
                <w:b/>
                <w:sz w:val="20"/>
                <w:szCs w:val="20"/>
              </w:rPr>
              <w:t>Prazo de execução da obra (em dias consecutivos)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9" w:hRule="atLeast"/>
        </w:trPr>
        <w:tc>
          <w:tcPr>
            <w:tcW w:w="3009" w:type="dxa"/>
            <w:vAlign w:val="center"/>
          </w:tcPr>
          <w:p>
            <w:pPr>
              <w:spacing w:after="0" w:line="240" w:lineRule="auto"/>
              <w:rPr>
                <w:rFonts w:ascii="Arial" w:hAnsi="Arial" w:cs="Arial"/>
                <w:sz w:val="20"/>
                <w:szCs w:val="20"/>
              </w:rPr>
            </w:pPr>
            <w:r>
              <w:rPr>
                <w:rFonts w:ascii="Arial" w:hAnsi="Arial" w:cs="Arial"/>
                <w:sz w:val="20"/>
                <w:szCs w:val="20"/>
              </w:rPr>
              <w:t>LOTE 01: Baianópolis/BA</w:t>
            </w:r>
          </w:p>
        </w:tc>
        <w:tc>
          <w:tcPr>
            <w:tcW w:w="5474" w:type="dxa"/>
            <w:vAlign w:val="center"/>
          </w:tcPr>
          <w:p>
            <w:pPr>
              <w:spacing w:after="0" w:line="240" w:lineRule="auto"/>
              <w:rPr>
                <w:rFonts w:ascii="Arial" w:hAnsi="Arial" w:cs="Arial"/>
                <w:sz w:val="20"/>
                <w:szCs w:val="20"/>
              </w:rPr>
            </w:pPr>
            <w:r>
              <w:rPr>
                <w:rFonts w:ascii="Arial" w:hAnsi="Arial" w:cs="Arial"/>
                <w:sz w:val="20"/>
                <w:szCs w:val="20"/>
              </w:rPr>
              <w:t>60 (sessenta) dias consecutivos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9" w:hRule="atLeast"/>
        </w:trPr>
        <w:tc>
          <w:tcPr>
            <w:tcW w:w="3009" w:type="dxa"/>
            <w:vAlign w:val="center"/>
          </w:tcPr>
          <w:p>
            <w:pPr>
              <w:spacing w:after="0" w:line="240" w:lineRule="auto"/>
              <w:rPr>
                <w:rFonts w:ascii="Arial" w:hAnsi="Arial" w:cs="Arial"/>
                <w:sz w:val="20"/>
                <w:szCs w:val="20"/>
              </w:rPr>
            </w:pPr>
            <w:r>
              <w:rPr>
                <w:rFonts w:ascii="Arial" w:hAnsi="Arial" w:cs="Arial"/>
                <w:sz w:val="20"/>
                <w:szCs w:val="20"/>
              </w:rPr>
              <w:t>LOTE 02: Ibotirama/BA</w:t>
            </w:r>
          </w:p>
        </w:tc>
        <w:tc>
          <w:tcPr>
            <w:tcW w:w="5474" w:type="dxa"/>
            <w:vAlign w:val="center"/>
          </w:tcPr>
          <w:p>
            <w:pPr>
              <w:spacing w:after="0" w:line="240" w:lineRule="auto"/>
              <w:rPr>
                <w:rFonts w:ascii="Arial" w:hAnsi="Arial" w:cs="Arial"/>
                <w:sz w:val="20"/>
                <w:szCs w:val="20"/>
              </w:rPr>
            </w:pPr>
            <w:r>
              <w:rPr>
                <w:rFonts w:ascii="Arial" w:hAnsi="Arial" w:cs="Arial"/>
                <w:sz w:val="20"/>
                <w:szCs w:val="20"/>
              </w:rPr>
              <w:t>90 (noventa) dias consecutivos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9" w:hRule="atLeast"/>
        </w:trPr>
        <w:tc>
          <w:tcPr>
            <w:tcW w:w="3009" w:type="dxa"/>
            <w:vAlign w:val="center"/>
          </w:tcPr>
          <w:p>
            <w:pPr>
              <w:spacing w:after="0" w:line="240" w:lineRule="auto"/>
              <w:rPr>
                <w:rFonts w:ascii="Arial" w:hAnsi="Arial" w:cs="Arial"/>
                <w:sz w:val="20"/>
                <w:szCs w:val="20"/>
              </w:rPr>
            </w:pPr>
            <w:r>
              <w:rPr>
                <w:rFonts w:ascii="Arial" w:hAnsi="Arial" w:cs="Arial"/>
                <w:sz w:val="20"/>
                <w:szCs w:val="20"/>
              </w:rPr>
              <w:t>LOTE 03: Ilhéus/BA</w:t>
            </w:r>
          </w:p>
        </w:tc>
        <w:tc>
          <w:tcPr>
            <w:tcW w:w="5474" w:type="dxa"/>
            <w:vAlign w:val="center"/>
          </w:tcPr>
          <w:p>
            <w:pPr>
              <w:spacing w:after="0" w:line="240" w:lineRule="auto"/>
              <w:rPr>
                <w:rFonts w:ascii="Arial" w:hAnsi="Arial" w:cs="Arial"/>
                <w:sz w:val="20"/>
                <w:szCs w:val="20"/>
              </w:rPr>
            </w:pPr>
            <w:r>
              <w:rPr>
                <w:rFonts w:ascii="Arial" w:hAnsi="Arial" w:cs="Arial"/>
                <w:sz w:val="20"/>
                <w:szCs w:val="20"/>
              </w:rPr>
              <w:t>90 (noventa) dias consecutivos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0" w:hRule="atLeast"/>
        </w:trPr>
        <w:tc>
          <w:tcPr>
            <w:tcW w:w="3009" w:type="dxa"/>
            <w:vAlign w:val="center"/>
          </w:tcPr>
          <w:p>
            <w:pPr>
              <w:spacing w:after="0" w:line="240" w:lineRule="auto"/>
              <w:rPr>
                <w:rFonts w:ascii="Arial" w:hAnsi="Arial" w:cs="Arial"/>
                <w:sz w:val="20"/>
                <w:szCs w:val="20"/>
              </w:rPr>
            </w:pPr>
            <w:r>
              <w:rPr>
                <w:rFonts w:ascii="Arial" w:hAnsi="Arial" w:cs="Arial"/>
                <w:sz w:val="20"/>
                <w:szCs w:val="20"/>
              </w:rPr>
              <w:t>LOTE 04: Livramento de Nossa Senhora/BA</w:t>
            </w:r>
          </w:p>
        </w:tc>
        <w:tc>
          <w:tcPr>
            <w:tcW w:w="5474" w:type="dxa"/>
            <w:vAlign w:val="center"/>
          </w:tcPr>
          <w:p>
            <w:pPr>
              <w:spacing w:after="0" w:line="240" w:lineRule="auto"/>
              <w:rPr>
                <w:rFonts w:ascii="Arial" w:hAnsi="Arial" w:cs="Arial"/>
                <w:sz w:val="20"/>
                <w:szCs w:val="20"/>
              </w:rPr>
            </w:pPr>
            <w:r>
              <w:rPr>
                <w:rFonts w:ascii="Arial" w:hAnsi="Arial" w:cs="Arial"/>
                <w:sz w:val="20"/>
                <w:szCs w:val="20"/>
              </w:rPr>
              <w:t>90 (noventa) dias consecutivos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9" w:hRule="atLeast"/>
        </w:trPr>
        <w:tc>
          <w:tcPr>
            <w:tcW w:w="3009" w:type="dxa"/>
            <w:vAlign w:val="center"/>
          </w:tcPr>
          <w:p>
            <w:pPr>
              <w:spacing w:after="0" w:line="240" w:lineRule="auto"/>
              <w:rPr>
                <w:rFonts w:ascii="Arial" w:hAnsi="Arial" w:cs="Arial"/>
                <w:sz w:val="20"/>
                <w:szCs w:val="20"/>
              </w:rPr>
            </w:pPr>
            <w:r>
              <w:rPr>
                <w:rFonts w:ascii="Arial" w:hAnsi="Arial" w:cs="Arial"/>
                <w:sz w:val="20"/>
                <w:szCs w:val="20"/>
              </w:rPr>
              <w:t>LOTE 05: Porto Seguro/BA</w:t>
            </w:r>
          </w:p>
        </w:tc>
        <w:tc>
          <w:tcPr>
            <w:tcW w:w="5474" w:type="dxa"/>
            <w:vAlign w:val="center"/>
          </w:tcPr>
          <w:p>
            <w:pPr>
              <w:spacing w:after="0" w:line="240" w:lineRule="auto"/>
              <w:rPr>
                <w:rFonts w:ascii="Arial" w:hAnsi="Arial" w:cs="Arial"/>
                <w:sz w:val="20"/>
                <w:szCs w:val="20"/>
              </w:rPr>
            </w:pPr>
            <w:r>
              <w:rPr>
                <w:rFonts w:ascii="Arial" w:hAnsi="Arial" w:cs="Arial"/>
                <w:sz w:val="20"/>
                <w:szCs w:val="20"/>
              </w:rPr>
              <w:t>120 (cento e vinte) dias consecutivos</w:t>
            </w:r>
          </w:p>
        </w:tc>
      </w:tr>
    </w:tbl>
    <w:p>
      <w:pPr>
        <w:pStyle w:val="29"/>
        <w:jc w:val="both"/>
        <w:rPr>
          <w:rFonts w:ascii="Arial" w:hAnsi="Arial" w:cs="Arial"/>
        </w:rPr>
      </w:pPr>
    </w:p>
    <w:p>
      <w:pPr>
        <w:pStyle w:val="29"/>
        <w:jc w:val="both"/>
        <w:rPr>
          <w:rFonts w:ascii="Arial" w:hAnsi="Arial" w:cs="Arial"/>
        </w:rPr>
      </w:pPr>
    </w:p>
    <w:p>
      <w:pPr>
        <w:pStyle w:val="2"/>
        <w:rPr>
          <w:sz w:val="24"/>
        </w:rPr>
      </w:pPr>
      <w:bookmarkStart w:id="9" w:name="_Toc81472276"/>
      <w:r>
        <w:rPr>
          <w:rFonts w:cs="Arial"/>
          <w:sz w:val="24"/>
        </w:rPr>
        <w:t>DESCRIÇÃO DA SOLUÇÃO</w:t>
      </w:r>
      <w:bookmarkEnd w:id="9"/>
      <w:r>
        <w:rPr>
          <w:rFonts w:cs="Arial"/>
          <w:sz w:val="24"/>
        </w:rPr>
        <w:t xml:space="preserve"> </w:t>
      </w:r>
    </w:p>
    <w:p>
      <w:pPr>
        <w:rPr>
          <w:rFonts w:ascii="Arial" w:hAnsi="Arial" w:cs="Arial"/>
          <w:sz w:val="24"/>
        </w:rPr>
      </w:pPr>
    </w:p>
    <w:p>
      <w:pPr>
        <w:jc w:val="both"/>
        <w:rPr>
          <w:rFonts w:ascii="Arial" w:hAnsi="Arial" w:cs="Arial"/>
          <w:sz w:val="24"/>
          <w:szCs w:val="24"/>
        </w:rPr>
      </w:pPr>
      <w:r>
        <w:rPr>
          <w:rFonts w:ascii="Arial" w:hAnsi="Arial" w:cs="Arial"/>
          <w:sz w:val="24"/>
          <w:szCs w:val="24"/>
        </w:rPr>
        <w:t>A solução proposta neste estudo refere-se à e</w:t>
      </w:r>
      <w:r>
        <w:rPr>
          <w:rFonts w:ascii="Arial" w:hAnsi="Arial" w:cs="Arial"/>
          <w:color w:val="000000" w:themeColor="text1"/>
          <w:sz w:val="24"/>
          <w:szCs w:val="24"/>
        </w:rPr>
        <w:t>xecução de obras/serviços de Engenharia que objetivam a C</w:t>
      </w:r>
      <w:r>
        <w:rPr>
          <w:rFonts w:ascii="Arial" w:hAnsi="Arial" w:cs="Arial" w:eastAsiaTheme="majorEastAsia"/>
          <w:sz w:val="24"/>
          <w:szCs w:val="24"/>
        </w:rPr>
        <w:t>onstrução de 04 (quatro) praças, sendo 01 (uma) no Município de Baianópolis, 01 (uma) no Município de Ibotirama, 01 (uma) no Município de Ilhéus e 01 (uma) no Município de Livramento de Nossa Senhora, e Requalificação de 01 (uma) praça no município de Porto Seguro, todas no estado da Bahia, área de abrangência da 2ª Superintendência Regional da CODEVASF</w:t>
      </w:r>
      <w:r>
        <w:rPr>
          <w:rFonts w:ascii="Arial" w:hAnsi="Arial" w:cs="Arial"/>
          <w:sz w:val="24"/>
          <w:szCs w:val="24"/>
        </w:rPr>
        <w:t>.</w:t>
      </w:r>
    </w:p>
    <w:p>
      <w:pPr>
        <w:pStyle w:val="29"/>
        <w:jc w:val="both"/>
        <w:rPr>
          <w:rFonts w:ascii="Arial" w:hAnsi="Arial" w:cs="Arial"/>
        </w:rPr>
      </w:pPr>
      <w:r>
        <w:rPr>
          <w:rFonts w:ascii="Arial" w:hAnsi="Arial" w:cs="Arial"/>
        </w:rPr>
        <w:t xml:space="preserve">As praças almejadas terão passeios com piso intertravado, parque infantil, lixeiras em fibra de vidro, bancos com pés em concreto pré-moldado e encosto e assento em madeira, rampa de acesso, sistema de iluminação, instalação hidráulica e paisagismo. </w:t>
      </w:r>
    </w:p>
    <w:p>
      <w:pPr>
        <w:pStyle w:val="29"/>
        <w:jc w:val="both"/>
        <w:rPr>
          <w:rFonts w:ascii="Arial" w:hAnsi="Arial" w:cs="Arial"/>
        </w:rPr>
      </w:pPr>
    </w:p>
    <w:p>
      <w:pPr>
        <w:pStyle w:val="29"/>
        <w:jc w:val="both"/>
        <w:rPr>
          <w:rFonts w:ascii="Arial" w:hAnsi="Arial" w:eastAsia="Calibri" w:cs="Arial"/>
          <w:color w:val="auto"/>
        </w:rPr>
      </w:pPr>
      <w:r>
        <w:rPr>
          <w:rFonts w:ascii="Arial" w:hAnsi="Arial" w:eastAsia="Calibri" w:cs="Arial"/>
          <w:color w:val="auto"/>
        </w:rPr>
        <w:t>As especificações estabelecem as condições mínimas necessárias à execução dos serviços, bem como os critérios que a fiscalização deverá adotar quando do recebimento do objeto.</w:t>
      </w:r>
    </w:p>
    <w:p>
      <w:pPr>
        <w:pStyle w:val="29"/>
        <w:jc w:val="both"/>
        <w:rPr>
          <w:rFonts w:ascii="Arial" w:hAnsi="Arial" w:cs="Arial"/>
          <w:color w:val="auto"/>
        </w:rPr>
      </w:pPr>
    </w:p>
    <w:p>
      <w:pPr>
        <w:autoSpaceDE w:val="0"/>
        <w:autoSpaceDN w:val="0"/>
        <w:adjustRightInd w:val="0"/>
        <w:spacing w:after="0" w:line="240" w:lineRule="auto"/>
        <w:jc w:val="both"/>
        <w:rPr>
          <w:rFonts w:ascii="Arial" w:hAnsi="Arial" w:eastAsia="Calibri" w:cs="Arial"/>
          <w:sz w:val="24"/>
          <w:szCs w:val="24"/>
        </w:rPr>
      </w:pPr>
      <w:r>
        <w:rPr>
          <w:rFonts w:ascii="Arial" w:hAnsi="Arial" w:eastAsia="Calibri" w:cs="Arial"/>
          <w:sz w:val="24"/>
          <w:szCs w:val="24"/>
        </w:rPr>
        <w:t xml:space="preserve">A área técnica responsável pela execução deverá certificar-se do cumprimento das exigências constantes das </w:t>
      </w:r>
      <w:r>
        <w:rPr>
          <w:rFonts w:ascii="Arial" w:hAnsi="Arial" w:cs="Arial"/>
          <w:sz w:val="24"/>
          <w:szCs w:val="24"/>
        </w:rPr>
        <w:t>Especificações</w:t>
      </w:r>
      <w:r>
        <w:rPr>
          <w:rFonts w:ascii="Arial" w:hAnsi="Arial" w:eastAsia="Calibri" w:cs="Arial"/>
          <w:sz w:val="24"/>
          <w:szCs w:val="24"/>
        </w:rPr>
        <w:t xml:space="preserve"> Técnicas, bem como ao atendimento qu</w:t>
      </w:r>
      <w:r>
        <w:rPr>
          <w:rFonts w:ascii="Arial" w:hAnsi="Arial" w:cs="Arial"/>
          <w:sz w:val="24"/>
          <w:szCs w:val="24"/>
        </w:rPr>
        <w:t>a</w:t>
      </w:r>
      <w:r>
        <w:rPr>
          <w:rFonts w:ascii="Arial" w:hAnsi="Arial" w:eastAsia="Calibri" w:cs="Arial"/>
          <w:sz w:val="24"/>
          <w:szCs w:val="24"/>
        </w:rPr>
        <w:t>nto à legislação aplicável.</w:t>
      </w:r>
    </w:p>
    <w:p>
      <w:pPr>
        <w:pStyle w:val="29"/>
        <w:jc w:val="both"/>
        <w:rPr>
          <w:rFonts w:ascii="Arial" w:hAnsi="Arial" w:cs="Arial"/>
        </w:rPr>
      </w:pPr>
    </w:p>
    <w:p>
      <w:pPr>
        <w:pStyle w:val="29"/>
        <w:jc w:val="both"/>
        <w:rPr>
          <w:rFonts w:ascii="Arial" w:hAnsi="Arial" w:cs="Arial"/>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1"/>
          <w:numId w:val="10"/>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Da Relação dos Serviços:</w:t>
      </w:r>
    </w:p>
    <w:p>
      <w:pPr>
        <w:pStyle w:val="3"/>
        <w:numPr>
          <w:ilvl w:val="2"/>
          <w:numId w:val="10"/>
        </w:numPr>
        <w:autoSpaceDE w:val="0"/>
        <w:autoSpaceDN w:val="0"/>
        <w:adjustRightInd w:val="0"/>
        <w:spacing w:after="0" w:line="240" w:lineRule="auto"/>
        <w:ind w:left="986" w:hanging="567"/>
        <w:jc w:val="both"/>
        <w:rPr>
          <w:rFonts w:ascii="Arial" w:hAnsi="Arial" w:cs="Arial"/>
          <w:sz w:val="24"/>
          <w:szCs w:val="24"/>
        </w:rPr>
      </w:pPr>
      <w:r>
        <w:rPr>
          <w:rFonts w:ascii="Arial" w:hAnsi="Arial" w:cs="Arial"/>
          <w:sz w:val="24"/>
          <w:szCs w:val="24"/>
        </w:rPr>
        <w:t>Lote 01 – Localidade: Comunidade Palmeiras; – Município: Baianópolis/BA</w:t>
      </w:r>
    </w:p>
    <w:p>
      <w:pPr>
        <w:pStyle w:val="3"/>
        <w:autoSpaceDE w:val="0"/>
        <w:autoSpaceDN w:val="0"/>
        <w:adjustRightInd w:val="0"/>
        <w:spacing w:after="0" w:line="240" w:lineRule="auto"/>
        <w:ind w:left="567"/>
        <w:jc w:val="both"/>
        <w:rPr>
          <w:rFonts w:ascii="Arial" w:hAnsi="Arial" w:cs="Arial"/>
          <w:sz w:val="24"/>
          <w:szCs w:val="24"/>
        </w:rPr>
      </w:pPr>
    </w:p>
    <w:p>
      <w:pPr>
        <w:pStyle w:val="3"/>
        <w:autoSpaceDE w:val="0"/>
        <w:autoSpaceDN w:val="0"/>
        <w:adjustRightInd w:val="0"/>
        <w:spacing w:after="0" w:line="240" w:lineRule="auto"/>
        <w:ind w:left="880" w:leftChars="400"/>
        <w:jc w:val="both"/>
        <w:rPr>
          <w:rFonts w:ascii="Arial" w:hAnsi="Arial" w:cs="Arial"/>
          <w:sz w:val="24"/>
          <w:szCs w:val="24"/>
        </w:rPr>
      </w:pPr>
      <w:r>
        <w:rPr>
          <w:rFonts w:ascii="Arial" w:hAnsi="Arial" w:cs="Arial"/>
          <w:sz w:val="24"/>
          <w:szCs w:val="24"/>
        </w:rPr>
        <w:t>Etapas a serem executadas:</w:t>
      </w:r>
    </w:p>
    <w:p>
      <w:pPr>
        <w:pStyle w:val="3"/>
        <w:autoSpaceDE w:val="0"/>
        <w:autoSpaceDN w:val="0"/>
        <w:adjustRightInd w:val="0"/>
        <w:spacing w:after="0" w:line="240" w:lineRule="auto"/>
        <w:ind w:left="465"/>
        <w:jc w:val="both"/>
        <w:rPr>
          <w:rFonts w:ascii="Arial" w:hAnsi="Arial" w:cs="Arial"/>
          <w:sz w:val="24"/>
          <w:szCs w:val="24"/>
        </w:rPr>
      </w:pP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Serviços preliminares: nesta etapa será instalada a placa indicativa dos serviços, conforme padrões do governo federal; e serão desenvolvidas todas as operações de apoio à execução, como mobilização e execução de serviços topográficos;</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Terraplenagem: será executada a limpeza mecanizada de camada vegetal e a regularização e compactação de subleito de solo predominantemente argiloso;</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 xml:space="preserve">Pavimentação e Guias: serão executados pavimentos em piso intertravado, além do assentamento de guia (meio-fio). </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Acessibilidade: serão considerados os critérios de acessibilidade, com instalação de piso tátil direcional e/ou de alerta, execução de rampa para acesso à calçada e passeio (calçada);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Instalações elétricas: a praça contará com entrada de energia elétrica, destinada à iluminação. Serão instalados postes e luminárias decorativas para jardim.</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 xml:space="preserve">Jardinagem: Serão plantadas mudas de gramas do tipo Esmeralda para o paisagismo, assim como serão instalados Parque Infantil, com escorregadeira, gangorra, carrossel e balanço, e Bancos de Alvenaria para composição da praça. </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Diversos: serão instalados 7 bancos com pés em concreto pré-moldado e assento e encosto de madeira; 1 banco redondo de concreto;  1 conjunto com 3 lixeiras em fibra de vidro, com capacidade de 20L cada, tipo vai e vem; e 1 Cruzeiro em madeira sobre concreto.</w:t>
      </w:r>
    </w:p>
    <w:p>
      <w:pPr>
        <w:pStyle w:val="3"/>
        <w:autoSpaceDE w:val="0"/>
        <w:autoSpaceDN w:val="0"/>
        <w:adjustRightInd w:val="0"/>
        <w:spacing w:after="0" w:line="240" w:lineRule="auto"/>
        <w:ind w:left="880" w:leftChars="400"/>
        <w:jc w:val="both"/>
        <w:rPr>
          <w:rFonts w:ascii="Arial" w:hAnsi="Arial" w:cs="Arial"/>
          <w:sz w:val="24"/>
        </w:rPr>
      </w:pPr>
    </w:p>
    <w:p>
      <w:pPr>
        <w:pStyle w:val="3"/>
        <w:autoSpaceDE w:val="0"/>
        <w:autoSpaceDN w:val="0"/>
        <w:adjustRightInd w:val="0"/>
        <w:spacing w:after="0" w:line="240" w:lineRule="auto"/>
        <w:ind w:left="0" w:firstLine="960" w:firstLineChars="400"/>
        <w:jc w:val="both"/>
        <w:rPr>
          <w:rFonts w:ascii="Arial" w:hAnsi="Arial" w:cs="Arial"/>
          <w:sz w:val="24"/>
          <w:szCs w:val="24"/>
          <w:shd w:val="clear" w:color="auto" w:fill="FFFFFF"/>
        </w:rPr>
      </w:pPr>
      <w:r>
        <w:rPr>
          <w:rFonts w:ascii="Arial" w:hAnsi="Arial" w:cs="Arial"/>
          <w:sz w:val="24"/>
        </w:rPr>
        <w:t>A</w:t>
      </w:r>
      <w:r>
        <w:rPr>
          <w:rFonts w:ascii="Arial" w:hAnsi="Arial" w:cs="Arial"/>
          <w:sz w:val="24"/>
          <w:szCs w:val="24"/>
          <w:shd w:val="clear" w:color="auto" w:fill="FFFFFF"/>
        </w:rPr>
        <w:t>pós o término dos serviços, a Contratada deverá efetuar a limpeza de ruas, bem como a retirada, transporte e descarte do entulho gerado, em atendimento as normas ambientais pertinentes.</w:t>
      </w:r>
    </w:p>
    <w:p>
      <w:pPr>
        <w:pStyle w:val="3"/>
        <w:autoSpaceDE w:val="0"/>
        <w:autoSpaceDN w:val="0"/>
        <w:adjustRightInd w:val="0"/>
        <w:spacing w:after="0" w:line="240" w:lineRule="auto"/>
        <w:jc w:val="both"/>
        <w:rPr>
          <w:rFonts w:ascii="Arial" w:hAnsi="Arial" w:cs="Arial"/>
          <w:sz w:val="24"/>
          <w:szCs w:val="24"/>
          <w:shd w:val="clear" w:color="auto" w:fill="FFFFFF"/>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Lote 02 – Localidade: Bairro São Francisco (sede); – Município: Ibotirama/BA</w:t>
      </w:r>
    </w:p>
    <w:p>
      <w:pPr>
        <w:pStyle w:val="3"/>
        <w:autoSpaceDE w:val="0"/>
        <w:autoSpaceDN w:val="0"/>
        <w:adjustRightInd w:val="0"/>
        <w:spacing w:after="0" w:line="240" w:lineRule="auto"/>
        <w:ind w:left="567"/>
        <w:jc w:val="both"/>
        <w:rPr>
          <w:rFonts w:ascii="Arial" w:hAnsi="Arial" w:cs="Arial"/>
          <w:sz w:val="24"/>
          <w:szCs w:val="24"/>
        </w:rPr>
      </w:pPr>
    </w:p>
    <w:p>
      <w:pPr>
        <w:pStyle w:val="3"/>
        <w:autoSpaceDE w:val="0"/>
        <w:autoSpaceDN w:val="0"/>
        <w:adjustRightInd w:val="0"/>
        <w:spacing w:after="0" w:line="240" w:lineRule="auto"/>
        <w:ind w:left="880" w:leftChars="400"/>
        <w:jc w:val="both"/>
        <w:rPr>
          <w:rFonts w:ascii="Arial" w:hAnsi="Arial" w:cs="Arial"/>
          <w:sz w:val="24"/>
          <w:szCs w:val="24"/>
        </w:rPr>
      </w:pPr>
      <w:r>
        <w:rPr>
          <w:rFonts w:ascii="Arial" w:hAnsi="Arial" w:cs="Arial"/>
          <w:sz w:val="24"/>
          <w:szCs w:val="24"/>
        </w:rPr>
        <w:t>Etapas a serem executadas:</w:t>
      </w:r>
    </w:p>
    <w:p>
      <w:pPr>
        <w:pStyle w:val="3"/>
        <w:autoSpaceDE w:val="0"/>
        <w:autoSpaceDN w:val="0"/>
        <w:adjustRightInd w:val="0"/>
        <w:spacing w:after="0" w:line="240" w:lineRule="auto"/>
        <w:ind w:left="880" w:leftChars="400"/>
        <w:jc w:val="both"/>
        <w:rPr>
          <w:rFonts w:ascii="Arial" w:hAnsi="Arial" w:cs="Arial"/>
          <w:sz w:val="24"/>
          <w:szCs w:val="24"/>
        </w:rPr>
      </w:pP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Serviços preliminares: nesta etapa será instalada a placa indicativa dos serviços, conforme padrões do governo federal; e serão desenvolvidas todas as operações de apoio à execução, como mobilização e execução de serviços topográficos;</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Terraplenagem: será executada a limpeza mecanizada de camada vegetal, compactação de aterro, demolição de lajes e espalhamento de material;</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Pavimentação e Guias: serão executados pavimentos em piso intertravado, além do assentamento de guia (meio-fio) e execução de passeio;</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Acessibilidade: serão considerados os critérios de acessibilidade, com instalação de piso tátil direcional e/ou de alerta, execução de rampa para acesso à calçada e passeio (calçada), execução de rampa para acesso aos diferentes níveis da praça e instalação de corrimão;</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Palco: Será construído um palco em alvenaria estrutural, contendo piso cimentado liso e cobertura com estrutura metálica e telhamento com telha em aço galvalume;</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Instalações elétricas: a praça contará com entrada de energia elétrica, destinada à iluminação, postes decorativos para jardim e luminárias;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Jardinagem: Serão plantadas mudas de gramas do tipo Esmeralda;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Diversos: serão instalados 8 bancos com pés em concreto pré-moldado e assento e encosto de madeira; 4 conjuntos com 3 lixeiras em fibra de vidro, com capacidade de 20L cada, tipo vai e vem.</w:t>
      </w:r>
    </w:p>
    <w:p>
      <w:pPr>
        <w:pStyle w:val="3"/>
        <w:autoSpaceDE w:val="0"/>
        <w:autoSpaceDN w:val="0"/>
        <w:adjustRightInd w:val="0"/>
        <w:spacing w:after="0" w:line="240" w:lineRule="auto"/>
        <w:ind w:left="880" w:leftChars="400"/>
        <w:jc w:val="both"/>
        <w:rPr>
          <w:rFonts w:ascii="Arial" w:hAnsi="Arial" w:cs="Arial"/>
          <w:sz w:val="24"/>
        </w:rPr>
      </w:pPr>
    </w:p>
    <w:p>
      <w:pPr>
        <w:pStyle w:val="3"/>
        <w:autoSpaceDE w:val="0"/>
        <w:autoSpaceDN w:val="0"/>
        <w:adjustRightInd w:val="0"/>
        <w:spacing w:after="0" w:line="240" w:lineRule="auto"/>
        <w:ind w:left="0" w:firstLine="960" w:firstLineChars="400"/>
        <w:jc w:val="both"/>
        <w:rPr>
          <w:rFonts w:ascii="Arial" w:hAnsi="Arial" w:cs="Arial"/>
          <w:sz w:val="24"/>
          <w:szCs w:val="24"/>
          <w:shd w:val="clear" w:color="auto" w:fill="FFFFFF"/>
        </w:rPr>
      </w:pPr>
      <w:r>
        <w:rPr>
          <w:rFonts w:ascii="Arial" w:hAnsi="Arial" w:cs="Arial"/>
          <w:sz w:val="24"/>
        </w:rPr>
        <w:t>A</w:t>
      </w:r>
      <w:r>
        <w:rPr>
          <w:rFonts w:ascii="Arial" w:hAnsi="Arial" w:cs="Arial"/>
          <w:sz w:val="24"/>
          <w:szCs w:val="24"/>
          <w:shd w:val="clear" w:color="auto" w:fill="FFFFFF"/>
        </w:rPr>
        <w:t>pós o término dos serviços, a contratada deverá retirar o entulho gerado, transportá-lo e depositá-lo em local apropriado para descarte, em atendimento as normas ambientais pertinentes.</w:t>
      </w:r>
    </w:p>
    <w:p>
      <w:pPr>
        <w:pStyle w:val="3"/>
        <w:autoSpaceDE w:val="0"/>
        <w:autoSpaceDN w:val="0"/>
        <w:adjustRightInd w:val="0"/>
        <w:spacing w:after="0" w:line="240" w:lineRule="auto"/>
        <w:ind w:left="360"/>
        <w:jc w:val="both"/>
        <w:rPr>
          <w:rFonts w:ascii="Arial" w:hAnsi="Arial" w:cs="Arial"/>
          <w:sz w:val="24"/>
        </w:rPr>
      </w:pPr>
    </w:p>
    <w:p>
      <w:pPr>
        <w:pStyle w:val="3"/>
        <w:autoSpaceDE w:val="0"/>
        <w:autoSpaceDN w:val="0"/>
        <w:adjustRightInd w:val="0"/>
        <w:spacing w:after="0" w:line="240" w:lineRule="auto"/>
        <w:jc w:val="both"/>
        <w:rPr>
          <w:rFonts w:ascii="Arial" w:hAnsi="Arial" w:cs="Arial"/>
          <w:color w:val="FF0000"/>
          <w:sz w:val="24"/>
          <w:szCs w:val="24"/>
          <w:shd w:val="clear" w:color="auto" w:fill="FFFFFF"/>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Lote 03 – Localidade: Comunidade Inema; – Município: Ilhéus/BA</w:t>
      </w:r>
    </w:p>
    <w:p>
      <w:pPr>
        <w:pStyle w:val="3"/>
        <w:autoSpaceDE w:val="0"/>
        <w:autoSpaceDN w:val="0"/>
        <w:adjustRightInd w:val="0"/>
        <w:spacing w:after="0" w:line="240" w:lineRule="auto"/>
        <w:ind w:left="567"/>
        <w:jc w:val="both"/>
        <w:rPr>
          <w:rFonts w:ascii="Arial" w:hAnsi="Arial" w:cs="Arial"/>
          <w:sz w:val="24"/>
          <w:szCs w:val="24"/>
        </w:rPr>
      </w:pPr>
    </w:p>
    <w:p>
      <w:pPr>
        <w:pStyle w:val="3"/>
        <w:autoSpaceDE w:val="0"/>
        <w:autoSpaceDN w:val="0"/>
        <w:adjustRightInd w:val="0"/>
        <w:spacing w:after="0" w:line="240" w:lineRule="auto"/>
        <w:ind w:left="880" w:leftChars="400"/>
        <w:jc w:val="both"/>
        <w:rPr>
          <w:rFonts w:ascii="Arial" w:hAnsi="Arial" w:cs="Arial"/>
          <w:sz w:val="24"/>
          <w:szCs w:val="24"/>
        </w:rPr>
      </w:pPr>
      <w:r>
        <w:rPr>
          <w:rFonts w:ascii="Arial" w:hAnsi="Arial" w:cs="Arial"/>
          <w:sz w:val="24"/>
          <w:szCs w:val="24"/>
        </w:rPr>
        <w:t>Etapas a serem executadas:</w:t>
      </w:r>
    </w:p>
    <w:p>
      <w:pPr>
        <w:pStyle w:val="3"/>
        <w:autoSpaceDE w:val="0"/>
        <w:autoSpaceDN w:val="0"/>
        <w:adjustRightInd w:val="0"/>
        <w:spacing w:after="0" w:line="240" w:lineRule="auto"/>
        <w:ind w:left="880" w:leftChars="400"/>
        <w:jc w:val="both"/>
        <w:rPr>
          <w:rFonts w:ascii="Arial" w:hAnsi="Arial" w:cs="Arial"/>
          <w:sz w:val="24"/>
          <w:szCs w:val="24"/>
        </w:rPr>
      </w:pP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Serviços preliminares: nesta etapa será instalada a placa indicativa dos serviços, conforme padrões do governo federal; e serão desenvolvidas todas as operações de apoio à execução, como mobilização e execução de serviços topográficos;</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Terraplenagem: será executada a escavação, carga e transporte de material de 1ª categoria, espalhamento de material em bota-fora e a regularização e compactação de subleito de solo predominantemente argiloso;</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 xml:space="preserve">Pavimentação e Guias: serão executados pavimentos em piso intertravado, além do assentamento de guia (meio-fio), execução de escadas para acessar os diferentes níveis da praça e execução de muro em alvenaria estrutural. </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Acessibilidade: serão considerados os critérios de acessibilidade, com instalação de piso tátil direcional e/ou de alerta e rampas para acesso à calçada e aos diferentes níveis da praça e instalação de guarda-corpo e corrimão em ferro galvanizado;</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szCs w:val="24"/>
        </w:rPr>
        <w:t xml:space="preserve">Instalação de Parque Infantil: na preparação para instalação do parque será executado o preenchimento da área com pó de brita. </w:t>
      </w:r>
      <w:r>
        <w:rPr>
          <w:rFonts w:ascii="Arial" w:hAnsi="Arial" w:cs="Arial"/>
          <w:sz w:val="24"/>
        </w:rPr>
        <w:t>O parque infantil contará com a instalação de equipamentos para o entretenimento das crianças;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Instalação elétrica: a praça contará com entrada de energia elétrica, destinada à iluminação; postes decorativos para jardim e luminárias.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Jardinagem: Serão plantadas mudas de gramas do tipo Esmeralda e executado banco de alvenaria;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Diversos: serão instalados 4 bancos com pés em concreto pré-moldado e assento e encosto de madeira; 2 conjuntos com 3 lixeiras em fibra de vidro, com capacidade de 20L cada, tipo vai e vem.</w:t>
      </w:r>
    </w:p>
    <w:p>
      <w:pPr>
        <w:pStyle w:val="3"/>
        <w:autoSpaceDE w:val="0"/>
        <w:autoSpaceDN w:val="0"/>
        <w:adjustRightInd w:val="0"/>
        <w:spacing w:after="0" w:line="240" w:lineRule="auto"/>
        <w:ind w:left="880" w:leftChars="400"/>
        <w:jc w:val="both"/>
        <w:rPr>
          <w:rFonts w:ascii="Arial" w:hAnsi="Arial" w:cs="Arial"/>
          <w:sz w:val="24"/>
        </w:rPr>
      </w:pPr>
    </w:p>
    <w:p>
      <w:pPr>
        <w:pStyle w:val="3"/>
        <w:autoSpaceDE w:val="0"/>
        <w:autoSpaceDN w:val="0"/>
        <w:adjustRightInd w:val="0"/>
        <w:spacing w:after="0" w:line="240" w:lineRule="auto"/>
        <w:ind w:left="0" w:firstLine="960" w:firstLineChars="400"/>
        <w:jc w:val="both"/>
        <w:rPr>
          <w:rFonts w:ascii="Arial" w:hAnsi="Arial" w:cs="Arial"/>
          <w:sz w:val="24"/>
          <w:szCs w:val="24"/>
          <w:shd w:val="clear" w:color="auto" w:fill="FFFFFF"/>
        </w:rPr>
      </w:pPr>
      <w:r>
        <w:rPr>
          <w:rFonts w:ascii="Arial" w:hAnsi="Arial" w:cs="Arial"/>
          <w:sz w:val="24"/>
        </w:rPr>
        <w:t>A</w:t>
      </w:r>
      <w:r>
        <w:rPr>
          <w:rFonts w:ascii="Arial" w:hAnsi="Arial" w:cs="Arial"/>
          <w:sz w:val="24"/>
          <w:szCs w:val="24"/>
          <w:shd w:val="clear" w:color="auto" w:fill="FFFFFF"/>
        </w:rPr>
        <w:t>pós o término dos serviços, a contratada deverá retirar o entulho gerado, transportá-lo e depositá-lo em local apropriado para descarte, em atendimento as normas ambientais pertinentes.</w:t>
      </w:r>
    </w:p>
    <w:p>
      <w:pPr>
        <w:pStyle w:val="3"/>
        <w:autoSpaceDE w:val="0"/>
        <w:autoSpaceDN w:val="0"/>
        <w:adjustRightInd w:val="0"/>
        <w:spacing w:after="0" w:line="240" w:lineRule="auto"/>
        <w:jc w:val="both"/>
        <w:rPr>
          <w:rFonts w:ascii="Arial" w:hAnsi="Arial" w:cs="Arial"/>
          <w:sz w:val="24"/>
          <w:szCs w:val="24"/>
          <w:shd w:val="clear" w:color="auto" w:fill="FFFFFF"/>
        </w:rPr>
      </w:pPr>
    </w:p>
    <w:p>
      <w:pPr>
        <w:pStyle w:val="3"/>
        <w:autoSpaceDE w:val="0"/>
        <w:autoSpaceDN w:val="0"/>
        <w:adjustRightInd w:val="0"/>
        <w:spacing w:after="0" w:line="240" w:lineRule="auto"/>
        <w:jc w:val="both"/>
        <w:rPr>
          <w:rFonts w:ascii="Arial" w:hAnsi="Arial" w:cs="Arial"/>
          <w:sz w:val="24"/>
          <w:szCs w:val="24"/>
          <w:shd w:val="clear" w:color="auto" w:fill="FFFFFF"/>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Lote 04 – Localidade: Povoado de Monteiro; – Município: Livramento de Nossa Senhora/BA</w:t>
      </w:r>
    </w:p>
    <w:p>
      <w:pPr>
        <w:pStyle w:val="3"/>
        <w:autoSpaceDE w:val="0"/>
        <w:autoSpaceDN w:val="0"/>
        <w:adjustRightInd w:val="0"/>
        <w:spacing w:after="0" w:line="240" w:lineRule="auto"/>
        <w:ind w:left="567"/>
        <w:jc w:val="both"/>
        <w:rPr>
          <w:rFonts w:ascii="Arial" w:hAnsi="Arial" w:cs="Arial"/>
          <w:sz w:val="24"/>
          <w:szCs w:val="24"/>
        </w:rPr>
      </w:pPr>
    </w:p>
    <w:p>
      <w:pPr>
        <w:pStyle w:val="3"/>
        <w:autoSpaceDE w:val="0"/>
        <w:autoSpaceDN w:val="0"/>
        <w:adjustRightInd w:val="0"/>
        <w:spacing w:after="0" w:line="240" w:lineRule="auto"/>
        <w:ind w:left="880" w:leftChars="400"/>
        <w:jc w:val="both"/>
        <w:rPr>
          <w:rFonts w:ascii="Arial" w:hAnsi="Arial" w:cs="Arial"/>
          <w:sz w:val="24"/>
          <w:szCs w:val="24"/>
        </w:rPr>
      </w:pPr>
      <w:r>
        <w:rPr>
          <w:rFonts w:ascii="Arial" w:hAnsi="Arial" w:cs="Arial"/>
          <w:sz w:val="24"/>
          <w:szCs w:val="24"/>
        </w:rPr>
        <w:t>Etapas a serem executadas:</w:t>
      </w:r>
    </w:p>
    <w:p>
      <w:pPr>
        <w:pStyle w:val="3"/>
        <w:autoSpaceDE w:val="0"/>
        <w:autoSpaceDN w:val="0"/>
        <w:adjustRightInd w:val="0"/>
        <w:spacing w:after="0" w:line="240" w:lineRule="auto"/>
        <w:ind w:left="880" w:leftChars="400"/>
        <w:jc w:val="both"/>
        <w:rPr>
          <w:rFonts w:ascii="Arial" w:hAnsi="Arial" w:cs="Arial"/>
          <w:sz w:val="24"/>
          <w:szCs w:val="24"/>
        </w:rPr>
      </w:pP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Serviços preliminares: nesta etapa será instalada a placa indicativa dos serviços, conforme padrões do governo federal; e serão desenvolvidas todas as operações de apoio à execução, como mobilização e execução de serviços topográficos;</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Terraplenagem (CBUQ + INTERTRAVADO): será executada a limpeza mecanizada de camada vegetal e a regularização e compactação de subleito de solo predominantemente argiloso;</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Pavimentação e Guias: serão executados pavimentos em CBUQ (Concreto Betuminoso Usinado a Quente) e piso intertravado, além do assentamento de guia (meio-fio);</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szCs w:val="24"/>
        </w:rPr>
        <w:t xml:space="preserve">Instalação de Parque Infantil: Na preparação para instalação do parque será executado o colchão de areia. </w:t>
      </w:r>
      <w:r>
        <w:rPr>
          <w:rFonts w:ascii="Arial" w:hAnsi="Arial" w:cs="Arial"/>
          <w:sz w:val="24"/>
        </w:rPr>
        <w:t>O parque infantil contará com a instalação de equipamentos para o entretenimento das crianças;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Instalação elétrica: a praça contará com entrada de energia elétrica, destinada à iluminação; postes decorativos para jardim e luminárias.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Diversos: serão instalados 12 bancos com pés em concreto pré-moldado e assento e encosto de madeira, 4 conjuntos de coleta seletiva com 4 lixeiras de 25 L cada, tipo vai e vem com tampa e suporte metálico e grama esmeralda.</w:t>
      </w:r>
    </w:p>
    <w:p>
      <w:pPr>
        <w:pStyle w:val="3"/>
        <w:autoSpaceDE w:val="0"/>
        <w:autoSpaceDN w:val="0"/>
        <w:adjustRightInd w:val="0"/>
        <w:spacing w:after="0" w:line="240" w:lineRule="auto"/>
        <w:ind w:left="0" w:firstLine="960" w:firstLineChars="400"/>
        <w:jc w:val="both"/>
        <w:rPr>
          <w:rFonts w:ascii="Arial" w:hAnsi="Arial" w:cs="Arial"/>
          <w:sz w:val="24"/>
          <w:szCs w:val="24"/>
          <w:shd w:val="clear" w:color="auto" w:fill="FFFFFF"/>
        </w:rPr>
      </w:pPr>
      <w:r>
        <w:rPr>
          <w:rFonts w:ascii="Arial" w:hAnsi="Arial" w:cs="Arial"/>
          <w:sz w:val="24"/>
        </w:rPr>
        <w:t>A</w:t>
      </w:r>
      <w:r>
        <w:rPr>
          <w:rFonts w:ascii="Arial" w:hAnsi="Arial" w:cs="Arial"/>
          <w:sz w:val="24"/>
          <w:szCs w:val="24"/>
          <w:shd w:val="clear" w:color="auto" w:fill="FFFFFF"/>
        </w:rPr>
        <w:t>pós o término dos serviços, a contratada deverá retirar o entulho gerado, transportá-lo e depositá-lo em local apropriado para descarte, em atendimento as normas ambientais pertinentes.</w:t>
      </w:r>
    </w:p>
    <w:p>
      <w:pPr>
        <w:pStyle w:val="3"/>
        <w:autoSpaceDE w:val="0"/>
        <w:autoSpaceDN w:val="0"/>
        <w:adjustRightInd w:val="0"/>
        <w:spacing w:after="0" w:line="240" w:lineRule="auto"/>
        <w:jc w:val="both"/>
        <w:rPr>
          <w:rFonts w:ascii="Arial" w:hAnsi="Arial" w:cs="Arial"/>
          <w:sz w:val="24"/>
          <w:szCs w:val="24"/>
          <w:shd w:val="clear" w:color="auto" w:fill="FFFFFF"/>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Lote 05 – Localidade: Praça do Descobrimento (sede); – Município: Porto Seguro/BA</w:t>
      </w:r>
    </w:p>
    <w:p>
      <w:pPr>
        <w:pStyle w:val="3"/>
        <w:autoSpaceDE w:val="0"/>
        <w:autoSpaceDN w:val="0"/>
        <w:adjustRightInd w:val="0"/>
        <w:spacing w:after="0" w:line="240" w:lineRule="auto"/>
        <w:ind w:left="567"/>
        <w:jc w:val="both"/>
        <w:rPr>
          <w:rFonts w:ascii="Arial" w:hAnsi="Arial" w:cs="Arial"/>
          <w:sz w:val="24"/>
          <w:szCs w:val="24"/>
        </w:rPr>
      </w:pPr>
    </w:p>
    <w:p>
      <w:pPr>
        <w:pStyle w:val="3"/>
        <w:autoSpaceDE w:val="0"/>
        <w:autoSpaceDN w:val="0"/>
        <w:adjustRightInd w:val="0"/>
        <w:spacing w:after="0" w:line="240" w:lineRule="auto"/>
        <w:ind w:left="880" w:leftChars="400"/>
        <w:jc w:val="both"/>
        <w:rPr>
          <w:rFonts w:ascii="Arial" w:hAnsi="Arial" w:cs="Arial"/>
          <w:sz w:val="24"/>
          <w:szCs w:val="24"/>
        </w:rPr>
      </w:pPr>
      <w:r>
        <w:rPr>
          <w:rFonts w:ascii="Arial" w:hAnsi="Arial" w:cs="Arial"/>
          <w:sz w:val="24"/>
          <w:szCs w:val="24"/>
        </w:rPr>
        <w:t>Etapas a serem executadas:</w:t>
      </w:r>
    </w:p>
    <w:p>
      <w:pPr>
        <w:pStyle w:val="3"/>
        <w:autoSpaceDE w:val="0"/>
        <w:autoSpaceDN w:val="0"/>
        <w:adjustRightInd w:val="0"/>
        <w:spacing w:after="0" w:line="240" w:lineRule="auto"/>
        <w:ind w:left="880" w:leftChars="400"/>
        <w:jc w:val="both"/>
        <w:rPr>
          <w:rFonts w:ascii="Arial" w:hAnsi="Arial" w:cs="Arial"/>
          <w:sz w:val="24"/>
          <w:szCs w:val="24"/>
        </w:rPr>
      </w:pP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Serviços preliminares: nesta etapa será instalada a placa indicativa dos serviços, conforme padrões do governo federal; e serão desenvolvidas todas as operações de apoio à execução, como mobilização e execução de serviços topográficos;</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sz w:val="24"/>
          <w:szCs w:val="24"/>
        </w:rPr>
        <w:t>Terraplenagem: será executada a limpeza mecanizada de camada vegetal, regularização e compactação de subleito de solo predominantemente argiloso;</w:t>
      </w:r>
    </w:p>
    <w:p>
      <w:pPr>
        <w:pStyle w:val="3"/>
        <w:numPr>
          <w:ilvl w:val="0"/>
          <w:numId w:val="11"/>
        </w:numPr>
        <w:autoSpaceDE w:val="0"/>
        <w:autoSpaceDN w:val="0"/>
        <w:adjustRightInd w:val="0"/>
        <w:spacing w:after="0"/>
        <w:ind w:left="880" w:leftChars="400" w:firstLine="0"/>
        <w:jc w:val="both"/>
        <w:rPr>
          <w:rFonts w:ascii="Arial" w:hAnsi="Arial" w:cs="Arial"/>
          <w:sz w:val="24"/>
          <w:szCs w:val="24"/>
          <w:shd w:val="clear" w:color="auto" w:fill="FFFFFF"/>
        </w:rPr>
      </w:pPr>
      <w:r>
        <w:rPr>
          <w:rFonts w:ascii="Arial" w:hAnsi="Arial" w:cs="Arial"/>
          <w:sz w:val="24"/>
          <w:szCs w:val="24"/>
        </w:rPr>
        <w:t>Pavimentação e Guias: será efetuada demolição de lajes, execução de pavimentos em piso intertravado, além do assentamento de guia (meio-fio) e passeio (calçada);</w:t>
      </w:r>
    </w:p>
    <w:p>
      <w:pPr>
        <w:pStyle w:val="3"/>
        <w:numPr>
          <w:ilvl w:val="0"/>
          <w:numId w:val="11"/>
        </w:numPr>
        <w:autoSpaceDE w:val="0"/>
        <w:autoSpaceDN w:val="0"/>
        <w:adjustRightInd w:val="0"/>
        <w:spacing w:after="0"/>
        <w:ind w:left="880" w:leftChars="400" w:firstLine="0"/>
        <w:jc w:val="both"/>
        <w:rPr>
          <w:rFonts w:ascii="Arial" w:hAnsi="Arial" w:cs="Arial"/>
          <w:sz w:val="24"/>
          <w:szCs w:val="24"/>
          <w:shd w:val="clear" w:color="auto" w:fill="FFFFFF"/>
        </w:rPr>
      </w:pPr>
      <w:r>
        <w:rPr>
          <w:rFonts w:ascii="Arial" w:hAnsi="Arial" w:cs="Arial"/>
          <w:sz w:val="24"/>
          <w:szCs w:val="24"/>
        </w:rPr>
        <w:t xml:space="preserve">Limpeza de ruas: </w:t>
      </w:r>
      <w:r>
        <w:rPr>
          <w:rFonts w:ascii="Arial" w:hAnsi="Arial" w:cs="Arial"/>
          <w:sz w:val="24"/>
        </w:rPr>
        <w:t>A</w:t>
      </w:r>
      <w:r>
        <w:rPr>
          <w:rFonts w:ascii="Arial" w:hAnsi="Arial" w:cs="Arial"/>
          <w:sz w:val="24"/>
          <w:szCs w:val="24"/>
          <w:shd w:val="clear" w:color="auto" w:fill="FFFFFF"/>
        </w:rPr>
        <w:t>pós o término dos serviços, a contratada deverá retirar o entulho gerado, transportá-lo e depositá-lo em local apropriado para descarte, em atendimento as normas ambientais pertinentes.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sz w:val="24"/>
        </w:rPr>
        <w:t>Diversos: Serão instalados 2 conjuntos com 3 lixeiras em fibra de vidro, com capacidade de 20L cada, tipo vai e vem.</w:t>
      </w:r>
    </w:p>
    <w:p>
      <w:pPr>
        <w:pStyle w:val="3"/>
        <w:autoSpaceDE w:val="0"/>
        <w:autoSpaceDN w:val="0"/>
        <w:adjustRightInd w:val="0"/>
        <w:spacing w:after="0" w:line="240" w:lineRule="auto"/>
        <w:ind w:left="360"/>
        <w:jc w:val="both"/>
        <w:rPr>
          <w:rFonts w:ascii="Arial" w:hAnsi="Arial" w:cs="Arial"/>
          <w:sz w:val="24"/>
        </w:rPr>
      </w:pPr>
    </w:p>
    <w:p>
      <w:pPr>
        <w:pStyle w:val="3"/>
        <w:numPr>
          <w:ilvl w:val="1"/>
          <w:numId w:val="10"/>
        </w:numPr>
        <w:autoSpaceDE w:val="0"/>
        <w:autoSpaceDN w:val="0"/>
        <w:adjustRightInd w:val="0"/>
        <w:spacing w:after="0" w:line="240" w:lineRule="auto"/>
        <w:ind w:left="567" w:hanging="567"/>
        <w:jc w:val="both"/>
        <w:rPr>
          <w:rFonts w:ascii="Arial" w:hAnsi="Arial" w:cs="Arial"/>
          <w:sz w:val="24"/>
        </w:rPr>
      </w:pPr>
      <w:r>
        <w:rPr>
          <w:rFonts w:ascii="Arial" w:hAnsi="Arial" w:cs="Arial"/>
          <w:sz w:val="24"/>
          <w:szCs w:val="24"/>
        </w:rPr>
        <w:t>Da Execução dos Serviços:</w:t>
      </w: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As obras/serviços serão realizados em conformidade com as cláusulas, condições, garantias, obrigações e responsabilidades entre as partes, descritos no instrumento contratual.</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Os serviços serão executados nos seguintes municípios e localidades: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color w:val="000000" w:themeColor="text1"/>
          <w:sz w:val="24"/>
          <w:szCs w:val="24"/>
        </w:rPr>
        <w:t>LOTE 01: Construção de 01 (uma) Praça na Comunidade Palmeiras no Município de Baianópolis/BA;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color w:val="000000" w:themeColor="text1"/>
          <w:sz w:val="24"/>
          <w:szCs w:val="24"/>
        </w:rPr>
        <w:t>LOTE 02: Construção de 01 (uma) Praça no Bairro São Francisco, na sede do Município de Ibotirama/BA;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color w:val="000000" w:themeColor="text1"/>
          <w:sz w:val="24"/>
          <w:szCs w:val="24"/>
        </w:rPr>
        <w:t>LOTE 03: Construção de 01 (uma) Praça na Comunidade Inema no Município de Ilhéus/BA;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color w:val="000000" w:themeColor="text1"/>
          <w:sz w:val="24"/>
          <w:szCs w:val="24"/>
        </w:rPr>
        <w:t>LOTE 04: Construção de 01 (uma) Praça no Povoado de Monteiro no Município de Livramento de Nossa Senhora/BA;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color w:val="000000" w:themeColor="text1"/>
          <w:sz w:val="24"/>
          <w:szCs w:val="24"/>
        </w:rPr>
        <w:t>LOTE 05: Requalificação de 01 (uma) Praça, a “Praça do Descobrimento”, no Município de Porto Seguro/BA.</w:t>
      </w:r>
    </w:p>
    <w:p>
      <w:pPr>
        <w:pStyle w:val="3"/>
        <w:autoSpaceDE w:val="0"/>
        <w:autoSpaceDN w:val="0"/>
        <w:adjustRightInd w:val="0"/>
        <w:spacing w:after="0" w:line="240" w:lineRule="auto"/>
        <w:ind w:left="360"/>
        <w:jc w:val="both"/>
        <w:rPr>
          <w:rFonts w:ascii="Arial" w:hAnsi="Arial" w:cs="Arial"/>
          <w:sz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 xml:space="preserve">Caberá à Contratante emitir e enviar a Ordem de Serviço à Contratada, disponibilizar modelo de placa de identificação do empreendimento e designar profissional para fiscalizar a execução das obras/serviços. </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 Contratada deverá atender às solicitações do fiscal, cumprir os prazos estipulados em contrato e possibilitar o seu livre acesso ao local das obras/serviços. Caso haja a impossibilidade de cumprimento de qualquer um dos prazos, deverá ser apresentada pela Contratada, ao Contratante, justificativa acompanhada de comprovação da impossibilidade de atendimento, para análise e aprovação.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Para execução dos serviços, a Contratada deverá observar as normas vigentes da ABNT que tratam de resíduos sólidos, o Caderno de Encargos da CODEVASF e as disposições particulares estabelecidas nas Especificações Técnicas, além das instruções que venham a receber da Contratante em cada caso específico e a melhor técnica consagrada pelo uso.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As obras/serviços serão iniciadas após a emissão da Ordem de Serviço e deverão ser feitos rigorosamente de acordo com o projeto executivo e serviços constantes na planilha orçamentária estimativa de preços. Toda e qualquer alteração que por necessidade deva ser introduzida no projeto ou nas especificações técnica, visando melhorias, só será admitida com autorização da Fiscalização da contratada.</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Os insumos a serem empregados na execução deverão passar por supervisão e aprovação da fiscalização antes da sua aplicação. Caso haja necessidade de substituição de insumos ou serviços da planilha orçamentária estimativa, a Contratada deverá apresentar memorial justificativo para sua utilização e composição de preço unitário completa, que permita avaliação da fiscalização.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As especificações estabelecem as condições mínimas necessárias à execução das obras/serviços, bem como os critérios que a fiscalização deverá adotar quando do recebimento do objeto.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 área técnica responsável pela execução deverá certificar-se do cumprimento das exigências constantes das Especificações Técnicas, bem como ao atendimento quanto à legislação aplicável.</w:t>
      </w:r>
    </w:p>
    <w:p>
      <w:pPr>
        <w:rPr>
          <w:rFonts w:ascii="Arial" w:hAnsi="Arial" w:cs="Arial"/>
          <w:sz w:val="24"/>
        </w:rPr>
      </w:pPr>
    </w:p>
    <w:p>
      <w:pPr>
        <w:pStyle w:val="2"/>
        <w:rPr>
          <w:rFonts w:cs="Arial"/>
          <w:sz w:val="24"/>
        </w:rPr>
      </w:pPr>
      <w:bookmarkStart w:id="10" w:name="_Toc81472277"/>
      <w:r>
        <w:rPr>
          <w:rFonts w:cs="Arial"/>
          <w:sz w:val="24"/>
        </w:rPr>
        <w:t>ESTIMATIVA DAS QUANTIDADES A SEREM CONTRATADAS</w:t>
      </w:r>
      <w:bookmarkEnd w:id="10"/>
    </w:p>
    <w:p>
      <w:pPr>
        <w:pStyle w:val="3"/>
        <w:autoSpaceDE w:val="0"/>
        <w:autoSpaceDN w:val="0"/>
        <w:adjustRightInd w:val="0"/>
        <w:spacing w:after="0" w:line="240" w:lineRule="auto"/>
        <w:jc w:val="both"/>
        <w:rPr>
          <w:rFonts w:ascii="Arial" w:hAnsi="Arial" w:cs="Arial"/>
          <w:b/>
          <w:bCs/>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 estimativa das quantidades e o número de praças a serem construídas levaram em consideração a indicação de parlamentares que atuam em municípios situados na área de abrangência da 2ª Superintendência Regional da CODEVASF.</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Entretanto, visando verificar as peculiaridades dos locais indicados, bem como viabilidade da ação proposta, técnicos da CODEVASF visitaram as localidades e realizaram levantamentos, os quais originaram os projetos.</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Recebemos a indicação para construção de 4 (quatro) praças e requalificação de 1 (uma) praça, sendo cada serviço/obra de Engenharia em um dos municípios supracitados, conforme segue:</w:t>
      </w:r>
    </w:p>
    <w:p>
      <w:pPr>
        <w:pStyle w:val="3"/>
        <w:autoSpaceDE w:val="0"/>
        <w:autoSpaceDN w:val="0"/>
        <w:adjustRightInd w:val="0"/>
        <w:spacing w:after="0" w:line="240" w:lineRule="auto"/>
        <w:ind w:left="0"/>
        <w:jc w:val="both"/>
        <w:rPr>
          <w:rFonts w:ascii="Arial" w:hAnsi="Arial" w:cs="Arial"/>
          <w:sz w:val="24"/>
          <w:szCs w:val="24"/>
        </w:rPr>
      </w:pPr>
    </w:p>
    <w:p>
      <w:pPr>
        <w:pStyle w:val="3"/>
        <w:numPr>
          <w:ilvl w:val="0"/>
          <w:numId w:val="11"/>
        </w:num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Lote 01 – Localidade: Comunidade Palmeiras; – Município: Baianópolis/BA</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7"/>
        <w:gridCol w:w="5575"/>
        <w:gridCol w:w="697"/>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CONSTRUÇÃO DE 01 (UMA) PRAÇA NA COMUNIDADE PALMEIRAS NO MUNICÍPIO DE BAIANÓPOLIS/BA.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PLANILHA ORÇAMENTÁRIA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ITEM</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REFERÊNCIA</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rPr>
                <w:rFonts w:ascii="Arial" w:hAnsi="Arial" w:cs="Arial"/>
                <w:b/>
                <w:bCs/>
                <w:sz w:val="18"/>
                <w:szCs w:val="18"/>
              </w:rPr>
            </w:pPr>
            <w:r>
              <w:rPr>
                <w:rFonts w:ascii="Arial" w:hAnsi="Arial" w:cs="Arial"/>
                <w:b/>
                <w:bCs/>
                <w:sz w:val="18"/>
                <w:szCs w:val="18"/>
              </w:rPr>
              <w:t>DISCRIMINAÇÃO DOS SERVIÇOS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Cs/>
                <w:sz w:val="18"/>
                <w:szCs w:val="18"/>
              </w:rPr>
            </w:pPr>
            <w:r>
              <w:rPr>
                <w:rFonts w:ascii="Arial" w:hAnsi="Arial" w:cs="Arial"/>
                <w:bCs/>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Cs/>
                <w:sz w:val="18"/>
                <w:szCs w:val="18"/>
              </w:rPr>
            </w:pPr>
            <w:r>
              <w:rPr>
                <w:rFonts w:ascii="Arial" w:hAnsi="Arial" w:cs="Arial"/>
                <w:bCs/>
                <w:sz w:val="18"/>
                <w:szCs w:val="18"/>
              </w:rPr>
              <w:t>QUANTITATIVO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bottom"/>
          </w:tcPr>
          <w:p>
            <w:pPr>
              <w:rPr>
                <w:rFonts w:ascii="Arial" w:hAnsi="Arial" w:cs="Arial"/>
                <w:sz w:val="18"/>
                <w:szCs w:val="18"/>
              </w:rPr>
            </w:pPr>
            <w:r>
              <w:rPr>
                <w:rFonts w:ascii="Arial" w:hAnsi="Arial" w:cs="Arial"/>
                <w:sz w:val="18"/>
                <w:szCs w:val="18"/>
              </w:rPr>
              <w:t> </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b/>
                <w:bCs/>
                <w:sz w:val="18"/>
                <w:szCs w:val="18"/>
              </w:rPr>
            </w:pPr>
            <w:r>
              <w:rPr>
                <w:rFonts w:ascii="Arial" w:hAnsi="Arial" w:cs="Arial"/>
                <w:b/>
                <w:bCs/>
                <w:sz w:val="18"/>
                <w:szCs w:val="18"/>
              </w:rPr>
              <w:t>SERVIÇOS PRELIMINARES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Administração local e Manutenção do Canteiro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global</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Locação e container - escritório com banheiro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mês</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Aluguel de container - almoxarifado sem banheiro (6,00 x 2,40m)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mês</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Mobilização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 xml:space="preserve">Desmobilização </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Placa de obra em chapa de aço galvanizada (3,60 X 1,80m)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Serviços topográficos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371,60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b/>
                <w:sz w:val="18"/>
                <w:szCs w:val="18"/>
              </w:rPr>
            </w:pPr>
            <w:r>
              <w:rPr>
                <w:rFonts w:ascii="Arial" w:hAnsi="Arial" w:cs="Arial"/>
                <w:b/>
                <w:sz w:val="18"/>
                <w:szCs w:val="18"/>
              </w:rPr>
              <w:t>TERRAPLENAGEM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Limpeza mecanizada de camada vegetal, vegetação e pequenas árvores (diâmetro de tronco menor que 0,20 m), com trator de esteiras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371,60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Regularização e compactação de subleito de solo predominantemente argiloso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371,60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PAVIMENTAÇÃO E GUIAS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INTERTRAVADO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 xml:space="preserve">Escavação manual de vala com profundidade menor ou igual a 1,30 m </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Lastro de concreto magro, aplicado em pisos, lajes sobre solo ou radier, espessura de 3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10,41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Assentamento de guia (meio-fio) em trecho curvo, confeccionada em concreto pré-fabricado, dimensões 80x08x08x25 cm (comprimento x base inferior x base superior x altura), para urbanização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69,40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Reaterro manual apiloado com soquete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Execução de passeio em piso intertravado, com bloco retangular colorido (vermelho) de 20 x 10 cm, espessura de 6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38,29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Execução de passeio em piso intertravado, com bloco retangular colorido (azul) de 20 x 10 cm, espessura de 6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16,39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Execução de passeio em piso intertravado, com bloco retangular cor natural de 20 x 10 cm, espessura de 6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136,95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ACESSIBILIDADE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Piso tátil direcional e/ou de alerta, de concreto, colorido, para deficientes visuais, dimensões 25 x 25 cm, aplicado com argamassa industrializada AC-II, rejuntado, exclusive regularização de base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Execução de passeio (calçada) ou piso de concreto moldado in loco, feito em obra, acabamento convencional, não armado, 6 cm de espessura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Execução de rampa de acesso à calçada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b/>
                <w:bCs/>
                <w:sz w:val="18"/>
                <w:szCs w:val="18"/>
              </w:rPr>
              <w:t>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INSTALAÇÕES ELÉTRICAS (Praça)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Entrada de energia elétrica trifásica, com poste de concreto duplo T, quadro, caixa de inspeção e disjuntor</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Escavação mecanizada de vala com profundidade até 1,5 m (média entre montante e jusante/uma composição por trecho) com retroescavadeira (capacidade da caçamba da retro: 0,26 m</w:t>
            </w:r>
            <w:r>
              <w:rPr>
                <w:rFonts w:ascii="Arial" w:hAnsi="Arial" w:cs="Arial"/>
                <w:sz w:val="18"/>
                <w:szCs w:val="18"/>
                <w:vertAlign w:val="superscript"/>
              </w:rPr>
              <w:t>3</w:t>
            </w:r>
            <w:r>
              <w:rPr>
                <w:rFonts w:ascii="Arial" w:hAnsi="Arial" w:cs="Arial"/>
                <w:sz w:val="18"/>
                <w:szCs w:val="18"/>
              </w:rPr>
              <w:t xml:space="preserve"> / potência: 88 HP), largura de 0,8 m a 1,5 m, em solo de 1</w:t>
            </w:r>
            <w:r>
              <w:rPr>
                <w:rFonts w:ascii="Arial" w:hAnsi="Arial" w:cs="Arial"/>
                <w:sz w:val="18"/>
                <w:szCs w:val="18"/>
                <w:vertAlign w:val="superscript"/>
              </w:rPr>
              <w:t>a</w:t>
            </w:r>
            <w:r>
              <w:rPr>
                <w:rFonts w:ascii="Arial" w:hAnsi="Arial" w:cs="Arial"/>
                <w:sz w:val="18"/>
                <w:szCs w:val="18"/>
              </w:rPr>
              <w:t xml:space="preserve"> categoria, locais com baixo nível de interferência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 xml:space="preserve">Colchão de areia, espessura de 5 cm </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Reaterro manual apiloado com soquete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11,21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Disjuntor tripolar tipo DIN, corrente nominal de 25A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Disjuntor tripolar tipo DIN, corrente nominal de 10A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Eletroduto PVC rígido roscável diâmetro 1 1/4"</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Eletroduto PVC rígido roscável diâmetro 3/4"</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Caixa de passagem em alvenaria de tijolos maciços esp. = 0,12 m, dim. Int. = 0,4 x 0,4 x 0,4 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 xml:space="preserve">Tampa de concreto para caixas de passagem 0,4 x 0,4 x 0,07 m </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 xml:space="preserve">Luminárias decorativas, poste com 2,5 m, lâmpadas de led 100 W, fornecimento e instalação </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 xml:space="preserve">Luminárias decorativas, poste com 9,0 m, lâmpadas de led 100 W, fornecimento e instalação </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Cabo de cobre flexível isolado, 2,5 mm², anti-chama 450/750 V, para circuitos terminais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78,20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Cabo de cobre flexível isolado, 10 mm², anti-chama 450/750 V, para circuitos terminais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Haste de terra em cobre tipo copperweld ø 5/8"x3,00m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PÇ</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Grampo de aterramento split-bolt, para cabo de # 10,0mm²</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PÇ</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Quadro de distribuição de energia em chapa de aço galvanizado, de embutir, com barramento trifásico, para 12 disjuntores DIN 100A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PÇ</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b/>
                <w:bCs/>
                <w:sz w:val="18"/>
                <w:szCs w:val="18"/>
              </w:rPr>
              <w:t>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JARDINAGEM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PAISAGISMO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Grama esmeralda em mudas, fornecimento e plantio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112,42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Pó de Brita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color w:val="000000" w:themeColor="text1"/>
                <w:sz w:val="18"/>
                <w:szCs w:val="18"/>
              </w:rPr>
            </w:pPr>
            <w:r>
              <w:rPr>
                <w:rFonts w:ascii="Arial" w:hAnsi="Arial" w:eastAsia="SimSun" w:cs="Arial"/>
                <w:color w:val="000000" w:themeColor="text1"/>
                <w:sz w:val="18"/>
                <w:szCs w:val="18"/>
                <w:lang w:val="en-US" w:eastAsia="zh-CN" w:bidi="ar"/>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Parque Infantil - fornecimento e montagem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color w:val="000000" w:themeColor="text1"/>
                <w:sz w:val="18"/>
                <w:szCs w:val="18"/>
              </w:rPr>
            </w:pPr>
            <w:r>
              <w:rPr>
                <w:rFonts w:ascii="Arial" w:hAnsi="Arial" w:eastAsia="SimSun" w:cs="Arial"/>
                <w:color w:val="000000" w:themeColor="text1"/>
                <w:sz w:val="18"/>
                <w:szCs w:val="18"/>
                <w:lang w:val="en-US" w:eastAsia="zh-CN" w:bidi="ar"/>
              </w:rPr>
              <w:t>un</w:t>
            </w:r>
            <w:r>
              <w:rPr>
                <w:rFonts w:ascii="Arial" w:hAnsi="Arial" w:eastAsia="SimSun" w:cs="Arial"/>
                <w:color w:val="000000" w:themeColor="text1"/>
                <w:sz w:val="18"/>
                <w:szCs w:val="18"/>
                <w:lang w:eastAsia="zh-CN" w:bidi="ar"/>
              </w:rPr>
              <w:t>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5.2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BANCO DE ALVENARIA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5.2.1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Alvenaria de vedação de blocos cerâmicos furados na vertical de 14x19x39cm (espessura 14cm)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5.2.2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Chapisco aplicado em alvenaria (sem presença de vãos) e estruturas de concreto de fachada, com colher de pedreiro. Argamassa traço 1:3 com preparo manual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5.2.3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Massa única, para recebimento de pintura, em argamassa traço 1:2:8, preparo manual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5.2.4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Aplicação manual de pintura com tinta látex acrílica em paredes, duas demãos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DIVERSOS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Banco com pés em concreto pré-moldado e assento e encosto de madeira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Conjunto com 3 lixeiras em fibra de vidro, com capacidade de 20L cada, com tampa vai e vem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Cruzeiro em madeira sobre concreto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sz w:val="18"/>
                <w:szCs w:val="18"/>
              </w:rPr>
            </w:pPr>
            <w:r>
              <w:rPr>
                <w:rFonts w:ascii="Arial" w:hAnsi="Arial" w:cs="Arial"/>
                <w:sz w:val="18"/>
                <w:szCs w:val="18"/>
              </w:rPr>
              <w:t>Limpeza de ruas (varrição e remoção de entulhos)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 xml:space="preserve">                371,60 </w:t>
            </w:r>
          </w:p>
        </w:tc>
      </w:tr>
    </w:tbl>
    <w:p>
      <w:pPr>
        <w:autoSpaceDE w:val="0"/>
        <w:autoSpaceDN w:val="0"/>
        <w:adjustRightInd w:val="0"/>
        <w:spacing w:after="0" w:line="240" w:lineRule="auto"/>
        <w:jc w:val="both"/>
        <w:rPr>
          <w:rFonts w:ascii="Arial" w:hAnsi="Arial" w:cs="Arial"/>
          <w:sz w:val="24"/>
          <w:szCs w:val="24"/>
        </w:rPr>
      </w:pPr>
    </w:p>
    <w:p>
      <w:pPr>
        <w:pStyle w:val="3"/>
        <w:numPr>
          <w:ilvl w:val="0"/>
          <w:numId w:val="11"/>
        </w:num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Lote 02 – Localidade: Bairro São Francisco (sede); – Município: Baianópolis/BA</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7"/>
        <w:gridCol w:w="5425"/>
        <w:gridCol w:w="816"/>
        <w:gridCol w:w="1581"/>
      </w:tblGrid>
      <w:tr>
        <w:tblPrEx>
          <w:tblLayout w:type="fixed"/>
          <w:tblCellMar>
            <w:top w:w="0" w:type="dxa"/>
            <w:left w:w="108" w:type="dxa"/>
            <w:bottom w:w="0" w:type="dxa"/>
            <w:right w:w="108" w:type="dxa"/>
          </w:tblCellMar>
        </w:tblPrEx>
        <w:trPr>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CONSTRUÇÃO DE 01 (UMA) PRAÇA NO BAIRRO SÃO FRANCISCO NA SEDE DO MUNICÍPIO DE IBOTIRAMA/BA.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PLANILHA ORÇAMENTÁRIA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ITEM</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REFERÊNCIA</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both"/>
              <w:rPr>
                <w:rFonts w:ascii="Arial" w:hAnsi="Arial" w:cs="Arial"/>
                <w:b/>
                <w:bCs/>
                <w:sz w:val="18"/>
                <w:szCs w:val="18"/>
              </w:rPr>
            </w:pPr>
            <w:r>
              <w:rPr>
                <w:rFonts w:ascii="Arial" w:hAnsi="Arial" w:cs="Arial"/>
                <w:b/>
                <w:bCs/>
                <w:sz w:val="18"/>
                <w:szCs w:val="18"/>
              </w:rPr>
              <w:t>DISCRIMINAÇÃO DOS SERVIÇOS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QUANTITATIVO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bCs/>
                <w:sz w:val="18"/>
                <w:szCs w:val="18"/>
              </w:rPr>
            </w:pPr>
            <w:r>
              <w:rPr>
                <w:rFonts w:ascii="Arial" w:hAnsi="Arial" w:cs="Arial"/>
                <w:b/>
                <w:bCs/>
                <w:sz w:val="18"/>
                <w:szCs w:val="18"/>
              </w:rPr>
              <w:t>SERVIÇOS PRELIMINARES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Administração local e Manutenção do Canteiro.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global</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Mobilização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Desmobilização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Placa de obra em chapa de aço galvanizada (3,60 X 1,80m)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Serviços topográficos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1.374,34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TERRAPLENAGEM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Limpeza mecanizada de camada vegetal, vegetação e pequenas árvores (diâmetro de tronco menor que 0,20 m), com trator de esteiras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1.374,34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e compactação de aterro com solo predominantemente argiloso - exclusive solo, escavação, carga e transporte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Transporte com caminhão basculante de 10 m³, em via urbana em revestimento primário (unidade: m</w:t>
            </w:r>
            <w:r>
              <w:rPr>
                <w:rFonts w:ascii="Arial" w:hAnsi="Arial" w:cs="Arial"/>
                <w:sz w:val="18"/>
                <w:szCs w:val="18"/>
                <w:vertAlign w:val="superscript"/>
              </w:rPr>
              <w:t>3</w:t>
            </w:r>
            <w:r>
              <w:rPr>
                <w:rFonts w:ascii="Arial" w:hAnsi="Arial" w:cs="Arial"/>
                <w:sz w:val="18"/>
                <w:szCs w:val="18"/>
              </w:rPr>
              <w:t>xkm)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m³XKm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1.374,34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Carga, manobra e descarga de solos e materiais granulares em caminhão basculante 10 m³ - carga com pá carregadeira (caçamba de 1,7 a 2,8 m³ / 128 HP) e descarga livre (unidade: m³)</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Demolição de lajes, de forma mecanizada com martelete,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Transporte com caminhão basculante de 10 m³, em via urbana em revestimento primário (unidade: m</w:t>
            </w:r>
            <w:r>
              <w:rPr>
                <w:rFonts w:ascii="Arial" w:hAnsi="Arial" w:cs="Arial"/>
                <w:sz w:val="18"/>
                <w:szCs w:val="18"/>
                <w:vertAlign w:val="superscript"/>
              </w:rPr>
              <w:t>3</w:t>
            </w:r>
            <w:r>
              <w:rPr>
                <w:rFonts w:ascii="Arial" w:hAnsi="Arial" w:cs="Arial"/>
                <w:sz w:val="18"/>
                <w:szCs w:val="18"/>
              </w:rPr>
              <w:t>xkm)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m³xkm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SICRO</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Espalhamento de material em bota-fora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PAVIMENTAÇÃO E GUIAS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INTERTRAVADO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Escavação manual de vala com profundidade menor ou igual a 1,30 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Lastro de concreto magro, aplicado em pisos, lajes sobre solo ou radier, espessura de 3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Assentamento de guia (meio-fio) em trecho curvo, confeccionada em concreto pré-fabricado, dimensões 80x08x08x25 cm (comprimento x base inferior x base superior x altura), para urbanização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manual apiloado com soquete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colorido (vermelho) de 20 x 10 cm, espessura de 6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177,06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cor natural de 20 x 10 cm, espessura de 6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619,83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ACESSIBILIDADE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Piso tátil direcional e/ou de alerta, de concreto, colorido, para deficientes visuais, dimensões 25 x 25 cm, aplicado com argamassa industrializada AC-II, rejuntado, exclusive regularização de base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38,39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(calçada) ou piso de concreto moldado in loco, feito em obra, acabamento convencional, não armado, 6 cm de espessura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rampa de acesso à calçada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rampa de concreto para acesso aos diferentes níveis da praça , fck = 20 MPa, esp. = 10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Corrimão simples, diâmetro externo = 1 1/2", em aço galvanizado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PALCO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FUNDAÇÃO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Escavação mecanizada com retroescavadeira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Forma plana para estruturas, em compensado resinado de 10 mm, 2 usos, inclusive escoramento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Lastro de concreto magro, aplicado em pisos, lajes sobre solo ou radier, espessura de 5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Armação de pilar ou viga de uma estrutura convencional de concreto armado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Kg</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487,92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Concreto fck = 25 MPa, traço 1:2,3:2,7 (em massa seca de cimento / areia média / brita 1) - preparo mecânico com betoneira 400 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manual apiloado com soquete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Impermeabilização de superfície com emulsão asfáltica, duas demãos (baldrame)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ALVENARIA E REVESTIMENTOS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Alvenaria estrutural de blocos cerâmicos 14x19x39, (espessura de 14 cm), para paredes com área líquida maior ou igual que 6m², sem vãos, utilizando palheta e argamassa de assentamento com preparo manual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21,20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Chapisco aplicado em alvenarias e estruturas de concreto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21,20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Massa única para recebimento de pintura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21,20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ALTEAMENTO DO PALCO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e compactação de aterro com solo predominantemente argiloso - exclusive solo, escavação, carga e transporte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52,94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Transporte com caminhão basculante de 10 m³, em via urbana em revestimento primário (unidade: m</w:t>
            </w:r>
            <w:r>
              <w:rPr>
                <w:rFonts w:ascii="Arial" w:hAnsi="Arial" w:cs="Arial"/>
                <w:sz w:val="18"/>
                <w:szCs w:val="18"/>
                <w:vertAlign w:val="superscript"/>
              </w:rPr>
              <w:t>3</w:t>
            </w:r>
            <w:r>
              <w:rPr>
                <w:rFonts w:ascii="Arial" w:hAnsi="Arial" w:cs="Arial"/>
                <w:sz w:val="18"/>
                <w:szCs w:val="18"/>
              </w:rPr>
              <w:t>xkm)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m³XKm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529,35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Carga, manobra e descarga de solos e materiais granulares em caminhão basculante 10 m³ - carga com pá carregadeira (caçamba de 1,7 a 2,8 m³ / 128 HP) e descarga livre (unidade: m</w:t>
            </w:r>
            <w:r>
              <w:rPr>
                <w:rFonts w:ascii="Arial" w:hAnsi="Arial" w:cs="Arial"/>
                <w:sz w:val="18"/>
                <w:szCs w:val="18"/>
                <w:vertAlign w:val="superscript"/>
              </w:rPr>
              <w:t>3</w:t>
            </w:r>
            <w:r>
              <w:rPr>
                <w:rFonts w:ascii="Arial" w:hAnsi="Arial" w:cs="Arial"/>
                <w:sz w:val="18"/>
                <w:szCs w:val="18"/>
              </w:rPr>
              <w:t>)</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52,94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PISO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Lastro de concreto magro, aplicado em pisos, lajes sobre solo ou radier, espessura de 5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105,87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4.4.2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Piso cimentado liso traço 1:5, e = 2,5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105,87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COBERTURA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Projeto estrutural de aço/alumínio/madeira até 500m². Observação: Área de projeção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127,50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Estrutura Metálica p/ Cobertura c/Vigas-Treliça Pratt UDC75 e terças em UDC 127, 2 águas, sem lanternin, vãos 6,0 a 10,0m, pintado 01 demão oxido ferro + 02 demãos esmalte epóxi branco, exceto forn. Telhas - Executada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127,50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Coluna metálica, em perfis UDC127x50x5,13, diagonais duplas, diversos usos ou composição de pórticos vãos 10,01m a 20,0m, largura 0,60m, PDmax. 7,00 , pintura 01 demão epoxi fundo óxido ferro + 02 demãos esmalte epoxi branco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Telhamento com telha em aço galvalume, simples, ondulada, não pintada, OND17 - 0,43mm, Kingspan- Isoeste ou similar</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127,50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Fechamento lateral com telha em aço galvalume, simples, trapezoidal, não pintada, TP40, e=0,65mm, Isoeste ou similar</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color w:val="000000"/>
                <w:sz w:val="18"/>
                <w:szCs w:val="18"/>
              </w:rPr>
            </w:pPr>
            <w:r>
              <w:rPr>
                <w:rFonts w:ascii="Arial" w:hAnsi="Arial" w:cs="Arial"/>
                <w:color w:val="000000"/>
                <w:sz w:val="18"/>
                <w:szCs w:val="18"/>
              </w:rPr>
              <w:t>55,10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INSTALAÇÕES ELÉTRICAS (Praça)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Entrada de energia elétrica trifásica, com poste de concreto duplo T, quadro, caixa de inspeção e disjuntor</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Escavação mecanizada com retroescavadeira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manual apiloado com soquete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Colchão de areia, espessura de 5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Disjuntor tripolar tipo DIN, corrente nominal de 25A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Disjuntor tripolar tipo DIN, corrente nominal de 10A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Eletroduto PVC rígido roscável diâmetro 1 1/4"</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Eletroduto PVC rígido roscável diâmetro 3/4"</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Caixa de passagem em alvenaria de tijolos maciços esp. = 0,12 m, dim. Int. = 0,4 x 0,4 x 0,4 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Tampa de concreto para caixas de passagem 0,4 x 0,4 x 0,07 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Luminárias decorativas, poste com 9,0 m, lâmpadas de led 100 W,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Cabo de cobre flexível isolado, 2,5 mm², anti-chama 450/750 V, para circuitos terminais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Cabo de cobre flexível isolado, 10 mm², anti-chama 450/750 V, para circuitos terminais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Haste de terra em cobre tipo copperweld ø 5/8"x3,00m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Grampo de aterramento split-bolt, para cabo de # 10,0mm²</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Quadro de medição de energia com padrão "COELBA"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JARDINAGEM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6.1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Grama esmeralda em mudas, fornecimento e plantio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DIVERSOS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Banco com pés em concreto pré-moldado e assento e encosto de madeira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Conjunto com 3 lixeiras em fibra de vidro, com capacidade de 20L cada, com tampa vai e vem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Limpeza de ruas (varrição e remoção de entulhos)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1.374,34</w:t>
            </w:r>
          </w:p>
        </w:tc>
      </w:tr>
    </w:tbl>
    <w:p>
      <w:pPr>
        <w:autoSpaceDE w:val="0"/>
        <w:autoSpaceDN w:val="0"/>
        <w:adjustRightInd w:val="0"/>
        <w:spacing w:after="0" w:line="240" w:lineRule="auto"/>
        <w:jc w:val="both"/>
        <w:rPr>
          <w:rFonts w:ascii="Arial" w:hAnsi="Arial" w:cs="Arial"/>
          <w:color w:val="FF0000"/>
          <w:sz w:val="24"/>
          <w:szCs w:val="24"/>
        </w:rPr>
      </w:pPr>
    </w:p>
    <w:p>
      <w:pPr>
        <w:pStyle w:val="3"/>
        <w:numPr>
          <w:ilvl w:val="0"/>
          <w:numId w:val="11"/>
        </w:num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Lote 03 – Localidade: Comunidade Inema; – Município: Ilhéus/BA</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387"/>
        <w:gridCol w:w="5464"/>
        <w:gridCol w:w="737"/>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outlineLvl w:val="1"/>
              <w:rPr>
                <w:rFonts w:ascii="Arial" w:hAnsi="Arial" w:cs="Arial"/>
                <w:bCs/>
                <w:sz w:val="18"/>
                <w:szCs w:val="18"/>
              </w:rPr>
            </w:pPr>
            <w:r>
              <w:rPr>
                <w:rFonts w:ascii="Arial" w:hAnsi="Arial" w:cs="Arial"/>
                <w:bCs/>
                <w:sz w:val="18"/>
                <w:szCs w:val="18"/>
              </w:rPr>
              <w:t>CONSTRUÇÃO DE 01 (UMA) PRAÇA NA COMUNIDADE INEMA NO MUNICÍPIO DE ILHÉUS/BA.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PLANILHA ORÇAMENTÁRIA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ITEM</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REFERÊNCIA</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both"/>
              <w:rPr>
                <w:rFonts w:ascii="Arial" w:hAnsi="Arial" w:cs="Arial"/>
                <w:b/>
                <w:bCs/>
                <w:sz w:val="18"/>
                <w:szCs w:val="18"/>
              </w:rPr>
            </w:pPr>
            <w:r>
              <w:rPr>
                <w:rFonts w:ascii="Arial" w:hAnsi="Arial" w:cs="Arial"/>
                <w:b/>
                <w:bCs/>
                <w:sz w:val="18"/>
                <w:szCs w:val="18"/>
              </w:rPr>
              <w:t>DISCRIMINAÇÃO DOS SERVIÇOS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QUANTITATIVO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bCs/>
                <w:sz w:val="18"/>
                <w:szCs w:val="18"/>
              </w:rPr>
            </w:pPr>
            <w:r>
              <w:rPr>
                <w:rFonts w:ascii="Arial" w:hAnsi="Arial" w:cs="Arial"/>
                <w:b/>
                <w:bCs/>
                <w:sz w:val="18"/>
                <w:szCs w:val="18"/>
              </w:rPr>
              <w:t>SERVIÇOS PRELIMINARES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Administração local e Manutenção do Canteiro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Global</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Locação e container - escritório com banheiro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mês</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Aluguel de container - almoxarifado sem banheiro (6,00 x 2,40m)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mês</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Mobilização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Desmobilização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Placa de obra em chapa de aço galvanizada (3,60 X 1,80m)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Serviços topográficos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795,80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TERRAPLENAGEM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SICRO</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Escavação, carga e transporte de material de 1ª categoria - DMT de 1.000 a 1.200 m - caminho de serviço em leito natural - com escavadeira e caminhão basculante de 14 m³</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SICRO</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Espalhamento de material em bota-fora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Regularização e compactação de subleito de solo predominantemente argiloso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784,36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PAVIMENTAÇÃO E GUIAS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INTERTRAVADO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 xml:space="preserve">Escavação manual de vala com profundidade menor ou igual a 1,30 m </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Lastro de concreto magro, aplicado em pisos, lajes sobre solo ou radier, espessura de 3 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Assentamento de guia (meio-fio) em trecho curvo, confeccionada em concreto pré-fabricado, dimensões 80x08x08x25 cm (comprimento x base inferior x base superior x altura), para urbanização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manual apiloado com soquete</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colorido (vermelho) de 20 x 10 cm, espessura de 6 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177,06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cor natural de 20 x 10 cm, espessura de 6 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619,83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colorido (amarelo) de 20 x 10 cm, espessura de 6 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cor natural de 20 x 10 cm, espessura de 6 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184,04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escada para acesso aos diferentes níveis da praça, fck = 20 MPa, moldada in loco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muro em alvenaria estrutural nas diferenças de níveis da praça e nas laterais das rampas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ACESSIBILIDADE</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Piso tátil direcional e/ou de alerta, de concreto, colorido, para deficientes visuais, dimensões 25 x 25 cm, aplicado com argamassa industrializada AC-II, rejuntado, exclusive regularização de base</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(calçada) ou piso de concreto moldado in loco, usinado, acabamento convencional, não armado, 6 cm de espessura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rampa de acesso à calçada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rampa de concreto para acesso aos diferentes níveis da praça , fck = 20 MPa, esp. = 10 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guarda-corpo h = 1,10 m e corrimão em tubo ferro galvanizado, barras superiores altura = 0,92 m e 0,70 m e barra inferior, diâmetro = 1 1/2", barras verticais a cada 0,11 m, curvas de aço carbono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Corrimão simples, diâmetro externo = 1 1/2", em aço galvanizado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INSTALAÇÃO DE PARQUE INFANTIL</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Pó de brita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Parque infantil - fornecimento e montagem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INSTALAÇÕES ELÉTRICAS (Praça)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Escavação mecanizada de vala com profundidade até 1,5 m (média entre montante e jusante/uma composição por trecho) com retroescavadeira (capacidade da caçamba da retro: 0,26 m</w:t>
            </w:r>
            <w:r>
              <w:rPr>
                <w:rFonts w:ascii="Arial" w:hAnsi="Arial" w:cs="Arial"/>
                <w:sz w:val="18"/>
                <w:szCs w:val="18"/>
                <w:vertAlign w:val="superscript"/>
              </w:rPr>
              <w:t xml:space="preserve">3 </w:t>
            </w:r>
            <w:r>
              <w:rPr>
                <w:rFonts w:ascii="Arial" w:hAnsi="Arial" w:cs="Arial"/>
                <w:sz w:val="18"/>
                <w:szCs w:val="18"/>
              </w:rPr>
              <w:t>/ potência: 88 HP), largura de 0,8 m a 1,5 m, em solo de 1a categoria, locais com baixo nível de interferência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Colchão de areia, espessura de 5 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mecanizado de vala com retroescavadeira (capacidade da caçamba da retro: 0,26 m³ / potência: 88 HP), largura até 0,8 m, profundidade até 1,5 m, com solo de 1ª categoria em locais com baixo nível de interferência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Disjuntor tripolar tipo DIN, corrente nominal de 32A - fornecimento e instalação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Disjuntor tripolar tipo DIN, corrente nominal de 10A - fornecimento e instalação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Eletroduto PVC rígido roscável diâmetro 1 1/4"</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Eletroduto PVC rígido roscável diâmetro 3/4"</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Caixa de passagem em alvenaria de tijolos maciços esp. = 0,12 m, dim. Int. = 0,4 x 0,4 x 0,4 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Tampa de concreto para caixas de passagem 0,4 x 0,4 x 0,07 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Luminárias decorativas, poste com 2,5 m, lâmpadas de led 100 W, fornecimento e instalação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Luminárias decorativas, poste com 9,0 m, lâmpadas de led 100 W, fornecimento e instalação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Cabo de cobre flexível isolado, 2,5 mm², anti-chama 450/750 V, para circuitos terminais - fornecimento e instalação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190,36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Cabo de cobre flexível isolado, 10 mm², anti-chama 450/750 V, para circuitos terminais - fornecimento e instalação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Haste de terra em cobre tipo copperweld ø 5/8"x3,00m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Grampo de aterramento split-bolt, para cabo de # 10,0mm²</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Quadro de distribuição de energia em chapa de aço galvanizado, de embutir, com barramento trifásico, para 12 disjuntores DIN 100A - fornecimento e instalação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Quadro de medição de energia com padrão "COELBA"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JARDINAGEM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6.1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PAISAGISMO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6.1.1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Grama esmeralda em mudas, fornecimento e plantio</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116,03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6.2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BANCO DE ALVENARIA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6.2.1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Alvenaria de vedação de blocos cerâmicos furados na vertical de 14x19x39cm (espessura 14cm)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6.2.2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Chapisco aplicado em alvenaria (sem presença de vãos) e estruturas de concreto de fachada, com colher de pedreiro. Argamassa traço 1:3 com preparo manual</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6.2.3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Massa única, para recebimento de pintura, em argamassa traço 1:2:8, preparo manual</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6.2.4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Aplicação manual de pintura com tinta látex acrílica em paredes, duas demãos.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DIVERSOS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Banco com pés em concreto pré-moldado e assento e encosto de madeira</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Conjunto com 3 lixeiras em fibra de vidro, com capacidade de 20L cada, com tampa vai e vem</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464"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Limpeza de ruas (varrição e remoção de entulhos)</w:t>
            </w:r>
          </w:p>
        </w:tc>
        <w:tc>
          <w:tcPr>
            <w:tcW w:w="73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795,80</w:t>
            </w:r>
          </w:p>
        </w:tc>
      </w:tr>
    </w:tbl>
    <w:p>
      <w:pPr>
        <w:autoSpaceDE w:val="0"/>
        <w:autoSpaceDN w:val="0"/>
        <w:adjustRightInd w:val="0"/>
        <w:spacing w:after="0" w:line="240" w:lineRule="auto"/>
        <w:jc w:val="both"/>
        <w:rPr>
          <w:rFonts w:ascii="Arial" w:hAnsi="Arial" w:cs="Arial"/>
          <w:sz w:val="24"/>
          <w:szCs w:val="24"/>
        </w:rPr>
      </w:pPr>
    </w:p>
    <w:p>
      <w:pPr>
        <w:pStyle w:val="3"/>
        <w:numPr>
          <w:ilvl w:val="0"/>
          <w:numId w:val="11"/>
        </w:num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Lote 04 – Localidade: Povoado do Monteiro; – Município: Livramento de Nossa Senhora/BA</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387"/>
        <w:gridCol w:w="5395"/>
        <w:gridCol w:w="786"/>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CONSTRUÇÃO DE 01 (UMA) PRAÇA NO POVOADO DE MONTEIRO NO MUNICÍPIO DE LIVRAMENTO DE NOSSA SENHORA/BA.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PLANILHA ORÇAMENTÁRIA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ITEM</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REFERÊNCIA</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both"/>
              <w:rPr>
                <w:rFonts w:ascii="Arial" w:hAnsi="Arial" w:cs="Arial"/>
                <w:b/>
                <w:bCs/>
                <w:sz w:val="18"/>
                <w:szCs w:val="18"/>
              </w:rPr>
            </w:pPr>
            <w:r>
              <w:rPr>
                <w:rFonts w:ascii="Arial" w:hAnsi="Arial" w:cs="Arial"/>
                <w:b/>
                <w:bCs/>
                <w:sz w:val="18"/>
                <w:szCs w:val="18"/>
              </w:rPr>
              <w:t>DISCRIMINAÇÃO DOS SERVIÇOS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QUANTITATIVO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bCs/>
                <w:sz w:val="18"/>
                <w:szCs w:val="18"/>
              </w:rPr>
            </w:pPr>
            <w:r>
              <w:rPr>
                <w:rFonts w:ascii="Arial" w:hAnsi="Arial" w:cs="Arial"/>
                <w:b/>
                <w:bCs/>
                <w:sz w:val="18"/>
                <w:szCs w:val="18"/>
              </w:rPr>
              <w:t>SERVIÇOS PRELIMINARES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Administração local e Manutenção do Canteiro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global</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Locação e container - escritório com banheiro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mês</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Aluguel de container - almoxarifado sem banheiro (6,00 x 2,40m)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mês</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Mobilização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Desmobilização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Placa de obra em chapa de aço galvanizada (3,60 X 1,80m)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Serviços topográficos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3.474,46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TERRAPLENAGEM (CBUQ + INTERTRAVADO)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Limpeza mecanizada de camada vegetal, vegetação e pequenas árvores (diâmetro de tronco menor que 0,20 m), com trator de esteiras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3.474,46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Regularização e compactação de subleito de solo predominantemente argiloso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3.474,46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PAVIMENTAÇÃO E GUIAS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CBUQ</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3.1.1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 xml:space="preserve">Escavação manual de vala com profundidade menor ou igual a 1,30 m </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3.1.2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Assentamento de guia (meio fio) em trecho reto, confeccionada em concreto pré - fabricado, dimensões 100x15x13x30 cm (comprimento x base inferior x base superior x altura), para vias urbana (uso viário)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386,12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3.1.3.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Assentamento de guia (meio fio) em trecho curvo, confeccionada em concreto pré - fabricado, dimensões 100x15x13x30 cm (comprimento x base inferior x base superior x altura), para vias urbana (uso viário)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3.1.4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manual apiloado com soquete</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Base estabilizada granulometricamente com mistura de solo na pista (exclusive material de base)</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Material para base com CBR&gt;60, adquirido solto na jazida, inclusive limpeza da área e carga, exclusive transporte</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Transporte com caminhão basculante de 14 m³, em via urbana em revestimento primário (material de base), DMT de 5 km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m³xKm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2.143,78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Aquisição e transporte de emulsão asfáltica RR-2C</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t</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SICRO</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imprimação com emulsão asfáltica RR-2C</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2.143,78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Aquisição e transporte de CAP 50/70</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t</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SICRO</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Concreto asfáltico - faixa C - areia e brita comerciais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t</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207,95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Cinta de amarração de alvenaria moldada in loco em concreto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INTERTRAVADO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 xml:space="preserve">Escavação manual de vala com profundidade menor ou igual a 1,30 m </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Lastro de concreto magro, aplicado em pisos, lajes sobre solo ou radier, espessura de 3 cm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Assentamento de guia (meio-fio) em trecho reto, confeccionado em concreto pré-fabricado, dimensões 39x6,5x6,5x19 cm (comprimento x base inferior x base superior x altura), para delimitação de jardins, praças ou passeios</w:t>
            </w:r>
          </w:p>
          <w:p>
            <w:pPr>
              <w:jc w:val="both"/>
              <w:rPr>
                <w:rFonts w:ascii="Arial" w:hAnsi="Arial" w:cs="Arial"/>
                <w:sz w:val="18"/>
                <w:szCs w:val="18"/>
              </w:rPr>
            </w:pP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356,85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manual apiloado com soquete</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colorido (vermelho) de 25 x 25 cm, espessura de 6 cm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790,04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colorido (azul) de 20 x 10  cm, espessura de 6 cm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487,87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INSTALAÇÃO DE PARQUE INFANTIL</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do colchão de areia, esp.=20cm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Parque infantil - fornecimento e montagem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INSTALAÇÕES ELÉTRICAS (Praça)</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Escavação mecanizada de vala com profundidade até 1,5 m (média entre montante e jusante/uma composição por trecho) com retroescavadeira (capacidade da caçamba da retro: 0,26 m3 / potência: 88 HP), largura de 0,8 m a 1,5 m, em solo de 1a categoria, locais com baixo nível de interferência</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Colchão de areia, espessura de 5 cm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mecanizado de vala com retroescavadeira (capacidade da caçamba da retro: 0,26 m³ / potência: 88 HP), largura até 0,8 m, profundidade até 1,5 m, com solo de 1ª categoria em locais com baixo nível de interferência</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disjuntor tripolar tipo DIN, corrente nominal de 32A - fornecimento e instalação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disjuntor tripolar tipo DIN, corrente nominal de 10A - fornecimento e instalação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eletroduto PVC rígido roscável diâmetro 1 1/4"</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eletroduto PVC rígido roscável diâmetro 3/4"</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Caixa de passagem em alvenaria de tijolos maciços esp. = 0,12 m, dim. Int. = 0,4 x 0,4 x 0,4 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Tampa de concreto para caixas de passagem 0,4 x 0,4 x 0,07 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Luminárias decorativas com chapéu refletor em alumínio, poste de 3 m, inclusive lâmpada de 250 W (2 LUMINÁRIAS/LÂMPADAS)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Cabo de cobre flexível isolado, 2,5 mm², anti-chama 450/750 V, para circuitos terminais - fornecimento e instalação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Cabo de cobre flexível isolado, 10 mm², anti-chama 450/750 V, para circuitos terminais - fornecimento e instalação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Haste de terra em cobre tipo copperweld ø 5/8"x3,00m</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Grampo de aterramento split-bolt, para cabo de # 10,0mm²</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Relé fotoelétrico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Quadro de distribuição de energia em chapa de aço galvanizado, de embutir, com barramento trifásico, para 12 disjuntores DIN 100A - fornecimento e instalação.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Quadro de medição de energia com padrão "COELBA"</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PÇ</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DIVERSOS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Banco com pés em concreto pré-moldado e assento e encosto de madeira</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Conjunto de coleta seletiva com 4 lixeiras de 25L cada, tipo vai e vem com tampa e suporte metálico.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Grama esmeralda em mudas, fornecimento e plantio</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39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Limpeza de ruas (varrição e remoção de entulhos)</w:t>
            </w:r>
          </w:p>
        </w:tc>
        <w:tc>
          <w:tcPr>
            <w:tcW w:w="78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7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3.474,46</w:t>
            </w:r>
          </w:p>
        </w:tc>
      </w:tr>
    </w:tbl>
    <w:p>
      <w:pPr>
        <w:autoSpaceDE w:val="0"/>
        <w:autoSpaceDN w:val="0"/>
        <w:adjustRightInd w:val="0"/>
        <w:spacing w:after="0" w:line="240" w:lineRule="auto"/>
        <w:jc w:val="both"/>
        <w:rPr>
          <w:rFonts w:ascii="Arial" w:hAnsi="Arial" w:cs="Arial"/>
          <w:color w:val="FF0000"/>
          <w:sz w:val="24"/>
          <w:szCs w:val="24"/>
        </w:rPr>
      </w:pPr>
    </w:p>
    <w:p>
      <w:pPr>
        <w:pStyle w:val="3"/>
        <w:numPr>
          <w:ilvl w:val="0"/>
          <w:numId w:val="11"/>
        </w:num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Lote 05 – Localidade: Praça do Descobrimento (sede); – Município: Porto Seguro/BA</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7"/>
        <w:gridCol w:w="5533"/>
        <w:gridCol w:w="697"/>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REQUALIFICAÇÃO DE 01 (UMA) PRAÇA, A “PRAÇA DO DESCOBRIMENTO”, NA SEDE DO MUNICÍPIO DE PORTO SEGURO/BA.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PLANILHA ORÇAMENTÁRIA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ITEM</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REFERÊNCIA</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both"/>
              <w:rPr>
                <w:rFonts w:ascii="Arial" w:hAnsi="Arial" w:cs="Arial"/>
                <w:b/>
                <w:bCs/>
                <w:sz w:val="18"/>
                <w:szCs w:val="18"/>
              </w:rPr>
            </w:pPr>
            <w:r>
              <w:rPr>
                <w:rFonts w:ascii="Arial" w:hAnsi="Arial" w:cs="Arial"/>
                <w:b/>
                <w:bCs/>
                <w:sz w:val="18"/>
                <w:szCs w:val="18"/>
              </w:rPr>
              <w:t>DISCRIMINAÇÃO DOS SERVIÇOS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UND</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QUANTITATIVO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bCs/>
                <w:sz w:val="18"/>
                <w:szCs w:val="18"/>
              </w:rPr>
            </w:pPr>
            <w:r>
              <w:rPr>
                <w:rFonts w:ascii="Arial" w:hAnsi="Arial" w:cs="Arial"/>
                <w:b/>
                <w:bCs/>
                <w:sz w:val="18"/>
                <w:szCs w:val="18"/>
              </w:rPr>
              <w:t>SERVIÇOS PRELIMINARES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Administração local e Manutenção do Canteiro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global</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Mobilização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Desmobilização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Placa de obra em chapa de aço galvanizada (3,60 X 1,80m)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Serviços topográficos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8.363,64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sz w:val="18"/>
                <w:szCs w:val="18"/>
              </w:rPr>
            </w:pP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TERRAPLENAGEM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Limpeza mecanizada de camada vegetal, vegetação e pequenas árvores (diâmetro de tronco menor que 0,20 m), com trator de esteiras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8.363,64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Regularização e compactação de subleito de solo predominantemente argiloso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8.363,64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PAVIMENTAÇÃO EM PISO INTERTRAVADO E GUIAS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INTERTRAVADO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Demolição de lajes, de forma mecanizada com martelete,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 xml:space="preserve">Escavação manual de vala com profundidade menor ou igual a 1,30 m </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Assentamento de guia (meio-fio) em trecho curvo, confeccionada em concreto pré-fabricado, dimensões 80x08x08x25 cm (comprimento x base inferior x base superior x altura), para urbanização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1.929,60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Reaterro manual apiloado com soquete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m³</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colorido (vermelho) de 20 x 10 cm, espessura de 8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1.779,73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3.6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CODEVASF</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Execução de passeio em piso intertravado, com bloco retangular cor natural de 20 x 10 cm, espessura de 8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6.583,91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LIMPEZA DE RUAS (VARRIÇÃO E REMOÇÃO DE ENTULHOS)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Limpeza de ruas (varrição e remoção de entulhos)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m²</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8.363,64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DIVERSOS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ORSE</w:t>
            </w:r>
          </w:p>
        </w:tc>
        <w:tc>
          <w:tcPr>
            <w:tcW w:w="553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Conjunto com 3 lixeiras em fibra de vidro, com capacidade de 20L cada, com tampa vai e vem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und</w:t>
            </w:r>
          </w:p>
        </w:tc>
        <w:tc>
          <w:tcPr>
            <w:tcW w:w="159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12,00</w:t>
            </w:r>
          </w:p>
        </w:tc>
      </w:tr>
    </w:tbl>
    <w:p>
      <w:pPr>
        <w:autoSpaceDE w:val="0"/>
        <w:autoSpaceDN w:val="0"/>
        <w:adjustRightInd w:val="0"/>
        <w:spacing w:after="0" w:line="240" w:lineRule="auto"/>
        <w:jc w:val="both"/>
        <w:rPr>
          <w:rFonts w:ascii="Arial" w:hAnsi="Arial" w:cs="Arial"/>
          <w:color w:val="FF0000"/>
          <w:sz w:val="24"/>
          <w:szCs w:val="24"/>
        </w:rPr>
      </w:pPr>
    </w:p>
    <w:p>
      <w:pPr>
        <w:pStyle w:val="2"/>
        <w:rPr>
          <w:rFonts w:cs="Arial"/>
          <w:sz w:val="24"/>
        </w:rPr>
      </w:pPr>
      <w:bookmarkStart w:id="11" w:name="_Toc81472278"/>
      <w:r>
        <w:rPr>
          <w:rFonts w:cs="Arial"/>
          <w:sz w:val="24"/>
        </w:rPr>
        <w:t>PESQUISA DE MERCADO E ESTIMATIVA DO VALOR DA CONTRATAÇÃO</w:t>
      </w:r>
      <w:bookmarkEnd w:id="11"/>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color w:val="auto"/>
        </w:rPr>
      </w:pPr>
      <w:r>
        <w:rPr>
          <w:rFonts w:ascii="Arial" w:hAnsi="Arial" w:cs="Arial"/>
          <w:color w:val="auto"/>
        </w:rPr>
        <w:t xml:space="preserve">O levantamento de mercado consiste na prospecção e análise das alternativas possíveis de contratação para os serviços em pauta, com ampla demanda no comércio nacional. </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Considerando o previsto no Art. 1</w:t>
      </w:r>
      <w:r>
        <w:rPr>
          <w:rFonts w:hint="default" w:ascii="Arial" w:hAnsi="Arial" w:cs="Arial"/>
          <w:color w:val="auto"/>
          <w:lang w:val="pt-BR"/>
        </w:rPr>
        <w:t>4</w:t>
      </w:r>
      <w:r>
        <w:rPr>
          <w:rFonts w:ascii="Arial" w:hAnsi="Arial" w:cs="Arial"/>
          <w:color w:val="auto"/>
        </w:rPr>
        <w:t xml:space="preserve"> do Regulamento Interno de licitações e Contratos da CODEVASF (DELIBERAÇÃO Nº 28, 27 de julho de 2020), houve pesquisa de mercado perante órgãos oficiais como SINAPI (Outubro/2021), SICRO/DNIT (Julho/2021) e ORSE (Setembro/2021).</w:t>
      </w:r>
    </w:p>
    <w:p>
      <w:pPr>
        <w:pStyle w:val="29"/>
        <w:jc w:val="both"/>
        <w:rPr>
          <w:rFonts w:ascii="Arial" w:hAnsi="Arial" w:cs="Arial"/>
          <w:color w:val="FF0000"/>
        </w:rPr>
      </w:pPr>
    </w:p>
    <w:p>
      <w:pPr>
        <w:pStyle w:val="29"/>
        <w:jc w:val="both"/>
        <w:rPr>
          <w:rFonts w:ascii="Arial" w:hAnsi="Arial" w:cs="Arial"/>
          <w:color w:val="auto"/>
        </w:rPr>
      </w:pPr>
      <w:r>
        <w:rPr>
          <w:rFonts w:ascii="Arial" w:hAnsi="Arial" w:cs="Arial"/>
          <w:color w:val="auto"/>
        </w:rPr>
        <w:t xml:space="preserve">Após realização de </w:t>
      </w:r>
      <w:r>
        <w:rPr>
          <w:rFonts w:ascii="Arial" w:hAnsi="Arial" w:eastAsia="Calibri" w:cs="Arial"/>
          <w:color w:val="auto"/>
        </w:rPr>
        <w:t>pesquisa de preços, c</w:t>
      </w:r>
      <w:r>
        <w:rPr>
          <w:rFonts w:ascii="Arial" w:hAnsi="Arial" w:cs="Arial"/>
          <w:color w:val="auto"/>
        </w:rPr>
        <w:t xml:space="preserve">onforme planilha de orçamento com todos os serviços previstos, </w:t>
      </w:r>
      <w:r>
        <w:rPr>
          <w:rFonts w:ascii="Arial" w:hAnsi="Arial" w:eastAsia="Calibri" w:cs="Arial"/>
          <w:color w:val="auto"/>
        </w:rPr>
        <w:t xml:space="preserve">chegou-se aos seguintes valores por lote, os quais são estimativos e máximos a serem considerados para a contratação. </w:t>
      </w:r>
      <w:r>
        <w:rPr>
          <w:rFonts w:ascii="Arial" w:hAnsi="Arial" w:cs="Arial"/>
          <w:color w:val="auto"/>
        </w:rPr>
        <w:t>O valor definitivo será conhecido após a licitação.</w:t>
      </w:r>
    </w:p>
    <w:p>
      <w:pPr>
        <w:pStyle w:val="29"/>
        <w:jc w:val="both"/>
        <w:rPr>
          <w:rFonts w:ascii="Arial" w:hAnsi="Arial" w:cs="Arial"/>
          <w:color w:val="auto"/>
        </w:rPr>
      </w:pPr>
    </w:p>
    <w:p>
      <w:pPr>
        <w:pStyle w:val="29"/>
        <w:jc w:val="both"/>
        <w:rPr>
          <w:rFonts w:ascii="Arial" w:hAnsi="Arial" w:cs="Arial"/>
          <w:color w:val="FF0000"/>
        </w:rPr>
      </w:pPr>
      <w:r>
        <w:rPr>
          <w:rFonts w:ascii="Arial" w:hAnsi="Arial" w:eastAsia="Calibri" w:cs="Arial"/>
          <w:color w:val="auto"/>
        </w:rPr>
        <w:t xml:space="preserve"> </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6460"/>
        <w:gridCol w:w="2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bCs w:val="0"/>
                <w:sz w:val="20"/>
                <w:szCs w:val="20"/>
              </w:rPr>
            </w:pPr>
            <w:r>
              <w:rPr>
                <w:rFonts w:ascii="Arial" w:hAnsi="Arial" w:cs="Arial"/>
                <w:b/>
                <w:bCs w:val="0"/>
                <w:sz w:val="20"/>
                <w:szCs w:val="20"/>
              </w:rPr>
              <w:t>LOTES</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bCs w:val="0"/>
                <w:sz w:val="20"/>
                <w:szCs w:val="20"/>
              </w:rPr>
            </w:pPr>
            <w:r>
              <w:rPr>
                <w:rFonts w:ascii="Arial" w:hAnsi="Arial" w:cs="Arial"/>
                <w:b/>
                <w:bCs w:val="0"/>
                <w:sz w:val="20"/>
                <w:szCs w:val="20"/>
              </w:rPr>
              <w:t>DESCRIÇÃO</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bCs w:val="0"/>
                <w:sz w:val="20"/>
                <w:szCs w:val="20"/>
              </w:rPr>
            </w:pPr>
            <w:r>
              <w:rPr>
                <w:rFonts w:ascii="Arial" w:hAnsi="Arial" w:cs="Arial"/>
                <w:b/>
                <w:bCs w:val="0"/>
                <w:sz w:val="20"/>
                <w:szCs w:val="20"/>
              </w:rPr>
              <w:t>PREÇO ESTIMADO C/BDI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20"/>
                <w:szCs w:val="20"/>
              </w:rPr>
            </w:pPr>
            <w:r>
              <w:rPr>
                <w:rFonts w:ascii="Arial" w:hAnsi="Arial" w:cs="Arial"/>
                <w:sz w:val="20"/>
                <w:szCs w:val="20"/>
              </w:rPr>
              <w:t>1</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sz w:val="20"/>
                <w:szCs w:val="20"/>
              </w:rPr>
            </w:pPr>
            <w:r>
              <w:rPr>
                <w:rFonts w:ascii="Arial" w:hAnsi="Arial" w:cs="Arial"/>
                <w:sz w:val="20"/>
                <w:szCs w:val="20"/>
              </w:rPr>
              <w:t>Construção de 01 (uma) Praça no município de Baianópolis.</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bCs/>
                <w:sz w:val="20"/>
                <w:szCs w:val="20"/>
              </w:rPr>
            </w:pPr>
            <w:r>
              <w:rPr>
                <w:rFonts w:ascii="Arial" w:hAnsi="Arial" w:eastAsia="SimSun" w:cs="Arial"/>
                <w:bCs/>
                <w:color w:val="000000"/>
                <w:sz w:val="20"/>
                <w:szCs w:val="20"/>
                <w:lang w:val="en-US" w:eastAsia="zh-CN" w:bidi="ar"/>
              </w:rPr>
              <w:t>R$</w:t>
            </w:r>
            <w:r>
              <w:rPr>
                <w:rFonts w:ascii="Arial" w:hAnsi="Arial" w:eastAsia="SimSun" w:cs="Arial"/>
                <w:bCs/>
                <w:color w:val="000000"/>
                <w:sz w:val="20"/>
                <w:szCs w:val="20"/>
                <w:lang w:eastAsia="zh-CN" w:bidi="ar"/>
              </w:rPr>
              <w:t xml:space="preserve"> </w:t>
            </w:r>
            <w:r>
              <w:rPr>
                <w:rFonts w:ascii="Arial" w:hAnsi="Arial" w:eastAsia="SimSun" w:cs="Arial"/>
                <w:bCs/>
                <w:color w:val="000000"/>
                <w:sz w:val="20"/>
                <w:szCs w:val="20"/>
                <w:lang w:val="en-US" w:eastAsia="zh-CN" w:bidi="ar"/>
              </w:rPr>
              <w:t>95.260,36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20"/>
                <w:szCs w:val="20"/>
              </w:rPr>
            </w:pPr>
            <w:r>
              <w:rPr>
                <w:rFonts w:ascii="Arial" w:hAnsi="Arial" w:cs="Arial"/>
                <w:sz w:val="20"/>
                <w:szCs w:val="20"/>
              </w:rPr>
              <w:t>2</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rPr>
            </w:pPr>
            <w:r>
              <w:rPr>
                <w:rFonts w:ascii="Arial" w:hAnsi="Arial" w:cs="Arial"/>
                <w:sz w:val="20"/>
                <w:szCs w:val="20"/>
              </w:rPr>
              <w:t>Construção de 01 (uma) Praça no município de Ibotirama.</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bCs/>
                <w:sz w:val="20"/>
                <w:szCs w:val="20"/>
              </w:rPr>
            </w:pPr>
            <w:r>
              <w:rPr>
                <w:rFonts w:ascii="Arial" w:hAnsi="Arial" w:eastAsia="SimSun" w:cs="Arial"/>
                <w:bCs/>
                <w:color w:val="000000"/>
                <w:sz w:val="20"/>
                <w:szCs w:val="20"/>
                <w:lang w:val="en-US" w:eastAsia="zh-CN" w:bidi="ar"/>
              </w:rPr>
              <w:t>R$</w:t>
            </w:r>
            <w:r>
              <w:rPr>
                <w:rFonts w:ascii="Arial" w:hAnsi="Arial" w:eastAsia="SimSun" w:cs="Arial"/>
                <w:bCs/>
                <w:color w:val="000000"/>
                <w:sz w:val="20"/>
                <w:szCs w:val="20"/>
                <w:lang w:eastAsia="zh-CN" w:bidi="ar"/>
              </w:rPr>
              <w:t xml:space="preserve"> </w:t>
            </w:r>
            <w:r>
              <w:rPr>
                <w:rFonts w:ascii="Arial" w:hAnsi="Arial" w:eastAsia="SimSun" w:cs="Arial"/>
                <w:bCs/>
                <w:color w:val="000000"/>
                <w:sz w:val="20"/>
                <w:szCs w:val="20"/>
                <w:lang w:val="en-US" w:eastAsia="zh-CN" w:bidi="ar"/>
              </w:rPr>
              <w:t>299.987,38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20"/>
                <w:szCs w:val="20"/>
              </w:rPr>
            </w:pPr>
            <w:r>
              <w:rPr>
                <w:rFonts w:ascii="Arial" w:hAnsi="Arial" w:cs="Arial"/>
                <w:sz w:val="20"/>
                <w:szCs w:val="20"/>
              </w:rPr>
              <w:t>3</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rPr>
            </w:pPr>
            <w:r>
              <w:rPr>
                <w:rFonts w:ascii="Arial" w:hAnsi="Arial" w:cs="Arial"/>
                <w:sz w:val="20"/>
                <w:szCs w:val="20"/>
              </w:rPr>
              <w:t>Construção de 01 (uma) Praça no município de Ilhéus.</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bCs/>
                <w:sz w:val="20"/>
                <w:szCs w:val="20"/>
              </w:rPr>
            </w:pPr>
            <w:r>
              <w:rPr>
                <w:rFonts w:ascii="Arial" w:hAnsi="Arial" w:eastAsia="SimSun" w:cs="Arial"/>
                <w:bCs/>
                <w:color w:val="000000"/>
                <w:sz w:val="20"/>
                <w:szCs w:val="20"/>
                <w:lang w:val="en-US" w:eastAsia="zh-CN" w:bidi="ar"/>
              </w:rPr>
              <w:t>R$</w:t>
            </w:r>
            <w:r>
              <w:rPr>
                <w:rFonts w:ascii="Arial" w:hAnsi="Arial" w:eastAsia="SimSun" w:cs="Arial"/>
                <w:bCs/>
                <w:color w:val="000000"/>
                <w:sz w:val="20"/>
                <w:szCs w:val="20"/>
                <w:lang w:eastAsia="zh-CN" w:bidi="ar"/>
              </w:rPr>
              <w:t xml:space="preserve"> </w:t>
            </w:r>
            <w:r>
              <w:rPr>
                <w:rFonts w:ascii="Arial" w:hAnsi="Arial" w:eastAsia="SimSun" w:cs="Arial"/>
                <w:bCs/>
                <w:color w:val="000000"/>
                <w:sz w:val="20"/>
                <w:szCs w:val="20"/>
                <w:lang w:val="en-US" w:eastAsia="zh-CN" w:bidi="ar"/>
              </w:rPr>
              <w:t>199.803,55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20"/>
                <w:szCs w:val="20"/>
              </w:rPr>
            </w:pPr>
            <w:r>
              <w:rPr>
                <w:rFonts w:ascii="Arial" w:hAnsi="Arial" w:cs="Arial"/>
                <w:sz w:val="20"/>
                <w:szCs w:val="20"/>
              </w:rPr>
              <w:t>4</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rPr>
            </w:pPr>
            <w:r>
              <w:rPr>
                <w:rFonts w:ascii="Arial" w:hAnsi="Arial" w:cs="Arial"/>
                <w:sz w:val="20"/>
                <w:szCs w:val="20"/>
              </w:rPr>
              <w:t>Construção de 01 (uma) Praça no município de Livramento de Nossa Senhora.</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bCs/>
                <w:sz w:val="20"/>
                <w:szCs w:val="20"/>
              </w:rPr>
            </w:pPr>
            <w:r>
              <w:rPr>
                <w:rFonts w:ascii="Arial" w:hAnsi="Arial" w:eastAsia="SimSun" w:cs="Arial"/>
                <w:bCs/>
                <w:color w:val="000000"/>
                <w:sz w:val="20"/>
                <w:szCs w:val="20"/>
                <w:lang w:eastAsia="zh-CN" w:bidi="ar"/>
              </w:rPr>
              <w:t xml:space="preserve">R$ </w:t>
            </w:r>
            <w:r>
              <w:rPr>
                <w:rFonts w:ascii="Arial" w:hAnsi="Arial" w:eastAsia="SimSun" w:cs="Arial"/>
                <w:bCs/>
                <w:color w:val="000000"/>
                <w:sz w:val="20"/>
                <w:szCs w:val="20"/>
                <w:lang w:val="en-US" w:eastAsia="zh-CN" w:bidi="ar"/>
              </w:rPr>
              <w:t>476.</w:t>
            </w:r>
            <w:r>
              <w:rPr>
                <w:rFonts w:ascii="Arial" w:hAnsi="Arial" w:eastAsia="SimSun" w:cs="Arial"/>
                <w:bCs/>
                <w:color w:val="000000"/>
                <w:sz w:val="20"/>
                <w:szCs w:val="20"/>
                <w:lang w:eastAsia="zh-CN" w:bidi="ar"/>
              </w:rPr>
              <w:t>939</w:t>
            </w:r>
            <w:r>
              <w:rPr>
                <w:rFonts w:ascii="Arial" w:hAnsi="Arial" w:eastAsia="SimSun" w:cs="Arial"/>
                <w:bCs/>
                <w:color w:val="000000"/>
                <w:sz w:val="20"/>
                <w:szCs w:val="20"/>
                <w:lang w:val="en-US" w:eastAsia="zh-CN" w:bidi="ar"/>
              </w:rPr>
              <w:t>,</w:t>
            </w:r>
            <w:r>
              <w:rPr>
                <w:rFonts w:ascii="Arial" w:hAnsi="Arial" w:eastAsia="SimSun" w:cs="Arial"/>
                <w:bCs/>
                <w:color w:val="000000"/>
                <w:sz w:val="20"/>
                <w:szCs w:val="20"/>
                <w:lang w:eastAsia="zh-CN" w:bidi="ar"/>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20"/>
                <w:szCs w:val="20"/>
              </w:rPr>
            </w:pPr>
            <w:r>
              <w:rPr>
                <w:rFonts w:ascii="Arial" w:hAnsi="Arial" w:cs="Arial"/>
                <w:sz w:val="20"/>
                <w:szCs w:val="20"/>
              </w:rPr>
              <w:t>5</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rPr>
            </w:pPr>
            <w:r>
              <w:rPr>
                <w:rFonts w:ascii="Arial" w:hAnsi="Arial" w:cs="Arial"/>
                <w:sz w:val="20"/>
                <w:szCs w:val="20"/>
              </w:rPr>
              <w:t>Requalificação de 01 (uma) Praça no município de Porto Seguro.</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bCs/>
                <w:sz w:val="20"/>
                <w:szCs w:val="20"/>
              </w:rPr>
            </w:pPr>
            <w:r>
              <w:rPr>
                <w:rFonts w:ascii="Arial" w:hAnsi="Arial" w:eastAsia="SimSun" w:cs="Arial"/>
                <w:bCs/>
                <w:color w:val="000000"/>
                <w:sz w:val="20"/>
                <w:szCs w:val="20"/>
                <w:lang w:val="en-US" w:eastAsia="zh-CN" w:bidi="ar"/>
              </w:rPr>
              <w:t>R$</w:t>
            </w:r>
            <w:r>
              <w:rPr>
                <w:rFonts w:ascii="Arial" w:hAnsi="Arial" w:eastAsia="SimSun" w:cs="Arial"/>
                <w:bCs/>
                <w:color w:val="000000"/>
                <w:sz w:val="20"/>
                <w:szCs w:val="20"/>
                <w:lang w:eastAsia="zh-CN" w:bidi="ar"/>
              </w:rPr>
              <w:t xml:space="preserve"> </w:t>
            </w:r>
            <w:r>
              <w:rPr>
                <w:rFonts w:ascii="Arial" w:hAnsi="Arial" w:eastAsia="SimSun" w:cs="Arial"/>
                <w:bCs/>
                <w:color w:val="000000"/>
                <w:sz w:val="20"/>
                <w:szCs w:val="20"/>
                <w:lang w:val="en-US" w:eastAsia="zh-CN" w:bidi="ar"/>
              </w:rPr>
              <w:t>999.</w:t>
            </w:r>
            <w:r>
              <w:rPr>
                <w:rFonts w:ascii="Arial" w:hAnsi="Arial" w:eastAsia="SimSun" w:cs="Arial"/>
                <w:bCs/>
                <w:color w:val="000000"/>
                <w:sz w:val="20"/>
                <w:szCs w:val="20"/>
                <w:lang w:eastAsia="zh-CN" w:bidi="ar"/>
              </w:rPr>
              <w:t>822</w:t>
            </w:r>
            <w:r>
              <w:rPr>
                <w:rFonts w:ascii="Arial" w:hAnsi="Arial" w:eastAsia="SimSun" w:cs="Arial"/>
                <w:bCs/>
                <w:color w:val="000000"/>
                <w:sz w:val="20"/>
                <w:szCs w:val="20"/>
                <w:lang w:val="en-US" w:eastAsia="zh-CN" w:bidi="ar"/>
              </w:rPr>
              <w:t>,5</w:t>
            </w:r>
            <w:r>
              <w:rPr>
                <w:rFonts w:ascii="Arial" w:hAnsi="Arial" w:eastAsia="SimSun" w:cs="Arial"/>
                <w:bCs/>
                <w:color w:val="000000"/>
                <w:sz w:val="20"/>
                <w:szCs w:val="20"/>
                <w:lang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vAlign w:val="center"/>
          </w:tcPr>
          <w:p>
            <w:pPr>
              <w:spacing w:line="240" w:lineRule="auto"/>
              <w:jc w:val="center"/>
              <w:rPr>
                <w:rFonts w:ascii="Arial" w:hAnsi="Arial" w:cs="Arial"/>
                <w:sz w:val="20"/>
                <w:szCs w:val="20"/>
              </w:rPr>
            </w:pP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vAlign w:val="center"/>
          </w:tcPr>
          <w:p>
            <w:pPr>
              <w:spacing w:line="240" w:lineRule="auto"/>
              <w:rPr>
                <w:rFonts w:ascii="Arial" w:hAnsi="Arial" w:cs="Arial"/>
                <w:sz w:val="20"/>
                <w:szCs w:val="20"/>
              </w:rPr>
            </w:pPr>
            <w:r>
              <w:rPr>
                <w:rFonts w:ascii="Arial" w:hAnsi="Arial" w:cs="Arial"/>
                <w:b/>
                <w:sz w:val="20"/>
                <w:szCs w:val="20"/>
              </w:rPr>
              <w:t>VALOR TOTAL ESTIMADO</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vAlign w:val="center"/>
          </w:tcPr>
          <w:p>
            <w:pPr>
              <w:jc w:val="center"/>
              <w:textAlignment w:val="center"/>
              <w:rPr>
                <w:rFonts w:ascii="Arial" w:hAnsi="Arial" w:cs="Arial"/>
                <w:bCs/>
                <w:sz w:val="20"/>
                <w:szCs w:val="20"/>
              </w:rPr>
            </w:pPr>
            <w:r>
              <w:rPr>
                <w:rFonts w:ascii="Arial" w:hAnsi="Arial" w:eastAsia="SimSun" w:cs="Arial"/>
                <w:bCs/>
                <w:color w:val="000000"/>
                <w:sz w:val="20"/>
                <w:szCs w:val="20"/>
                <w:lang w:eastAsia="zh-CN" w:bidi="ar"/>
              </w:rPr>
              <w:t xml:space="preserve">R$ </w:t>
            </w:r>
            <w:r>
              <w:rPr>
                <w:rFonts w:ascii="Arial" w:hAnsi="Arial" w:eastAsia="SimSun" w:cs="Arial"/>
                <w:bCs/>
                <w:color w:val="000000"/>
                <w:sz w:val="20"/>
                <w:szCs w:val="20"/>
                <w:lang w:val="en-US" w:eastAsia="zh-CN" w:bidi="ar"/>
              </w:rPr>
              <w:t>2</w:t>
            </w:r>
            <w:r>
              <w:rPr>
                <w:rFonts w:ascii="Arial" w:hAnsi="Arial" w:eastAsia="SimSun" w:cs="Arial"/>
                <w:bCs/>
                <w:color w:val="000000"/>
                <w:sz w:val="20"/>
                <w:szCs w:val="20"/>
                <w:lang w:eastAsia="zh-CN" w:bidi="ar"/>
              </w:rPr>
              <w:t>.</w:t>
            </w:r>
            <w:r>
              <w:rPr>
                <w:rFonts w:ascii="Arial" w:hAnsi="Arial" w:eastAsia="SimSun" w:cs="Arial"/>
                <w:bCs/>
                <w:color w:val="000000"/>
                <w:sz w:val="20"/>
                <w:szCs w:val="20"/>
                <w:lang w:val="en-US" w:eastAsia="zh-CN" w:bidi="ar"/>
              </w:rPr>
              <w:t>071</w:t>
            </w:r>
            <w:r>
              <w:rPr>
                <w:rFonts w:ascii="Arial" w:hAnsi="Arial" w:eastAsia="SimSun" w:cs="Arial"/>
                <w:bCs/>
                <w:color w:val="000000"/>
                <w:sz w:val="20"/>
                <w:szCs w:val="20"/>
                <w:lang w:eastAsia="zh-CN" w:bidi="ar"/>
              </w:rPr>
              <w:t>.813,72</w:t>
            </w:r>
          </w:p>
        </w:tc>
      </w:tr>
    </w:tbl>
    <w:p>
      <w:pPr>
        <w:autoSpaceDE w:val="0"/>
        <w:autoSpaceDN w:val="0"/>
        <w:adjustRightInd w:val="0"/>
        <w:spacing w:after="0" w:line="240" w:lineRule="auto"/>
        <w:jc w:val="both"/>
        <w:rPr>
          <w:rFonts w:ascii="Arial" w:hAnsi="Arial" w:cs="Arial"/>
          <w:color w:val="FF0000"/>
          <w:sz w:val="24"/>
          <w:szCs w:val="24"/>
        </w:rPr>
      </w:pPr>
    </w:p>
    <w:p>
      <w:pPr>
        <w:autoSpaceDE w:val="0"/>
        <w:autoSpaceDN w:val="0"/>
        <w:adjustRightInd w:val="0"/>
        <w:spacing w:after="0" w:line="240" w:lineRule="auto"/>
        <w:jc w:val="both"/>
        <w:rPr>
          <w:rFonts w:ascii="Arial" w:hAnsi="Arial" w:cs="Arial"/>
          <w:color w:val="FF0000"/>
          <w:sz w:val="24"/>
          <w:szCs w:val="24"/>
        </w:rPr>
      </w:pPr>
    </w:p>
    <w:p>
      <w:pPr>
        <w:pStyle w:val="2"/>
        <w:rPr>
          <w:rFonts w:cs="Arial"/>
          <w:sz w:val="24"/>
        </w:rPr>
      </w:pPr>
      <w:bookmarkStart w:id="12" w:name="_Toc81472279"/>
      <w:r>
        <w:rPr>
          <w:rFonts w:cs="Arial"/>
          <w:sz w:val="24"/>
        </w:rPr>
        <w:t>RESULTADOS PRETENDIDOS</w:t>
      </w:r>
      <w:bookmarkEnd w:id="12"/>
    </w:p>
    <w:p>
      <w:pPr>
        <w:autoSpaceDE w:val="0"/>
        <w:autoSpaceDN w:val="0"/>
        <w:adjustRightInd w:val="0"/>
        <w:spacing w:after="0" w:line="240" w:lineRule="auto"/>
        <w:jc w:val="both"/>
        <w:rPr>
          <w:rFonts w:ascii="Arial" w:hAnsi="Arial" w:cs="Arial"/>
          <w:sz w:val="24"/>
          <w:szCs w:val="24"/>
        </w:rPr>
      </w:pPr>
    </w:p>
    <w:p>
      <w:pPr>
        <w:pStyle w:val="29"/>
        <w:jc w:val="both"/>
        <w:rPr>
          <w:rFonts w:ascii="Arial" w:hAnsi="Arial" w:cs="Arial"/>
        </w:rPr>
      </w:pPr>
      <w:r>
        <w:rPr>
          <w:rFonts w:ascii="Arial" w:hAnsi="Arial" w:cs="Arial"/>
        </w:rPr>
        <w:t>Os resultados pretendidos efetivamente decorrem em duas etapas executivas: a primeira se dá pelo bem sucedido processo licitatório para contratação de empresa do ramo de engenharia para execução de obras e serviços de engenharia relativos à construção de 04 (quatro) praças, sendo 01 (uma) no município de Baianópolis, 01 (uma) no município de Ibotirama, 01 (uma) no município de Ilhéus e 01 (uma) no município de Livramento de Nossa Senhora, e à requalificação de 01 (uma) praça no município de Porto Seguro, todas no estado da Bahia, área de abrangência da 2ª Superintendência Regional da CODEVASF e, no segundo momento, a entrega do objeto aos municípios beneficiários.</w:t>
      </w:r>
    </w:p>
    <w:p>
      <w:pPr>
        <w:pStyle w:val="29"/>
        <w:jc w:val="both"/>
        <w:rPr>
          <w:rFonts w:ascii="Arial" w:hAnsi="Arial" w:eastAsia="Calibri" w:cs="Arial"/>
          <w:color w:val="auto"/>
        </w:rPr>
      </w:pPr>
    </w:p>
    <w:p>
      <w:pPr>
        <w:pStyle w:val="29"/>
        <w:jc w:val="both"/>
        <w:rPr>
          <w:rFonts w:ascii="Arial" w:hAnsi="Arial" w:eastAsia="Calibri" w:cs="Arial"/>
          <w:color w:val="auto"/>
        </w:rPr>
      </w:pPr>
      <w:r>
        <w:rPr>
          <w:rFonts w:ascii="Arial" w:hAnsi="Arial" w:eastAsia="Calibri" w:cs="Arial"/>
          <w:color w:val="auto"/>
        </w:rPr>
        <w:t>A segunda etapa ocorrerá pela conclusão exitosa das obras a serem contratadas, através das quais pretende-se possibilitar</w:t>
      </w:r>
      <w:r>
        <w:rPr>
          <w:rFonts w:ascii="Arial" w:hAnsi="Arial" w:cs="Arial"/>
          <w:color w:val="auto"/>
        </w:rPr>
        <w:t>:</w:t>
      </w:r>
    </w:p>
    <w:p>
      <w:pPr>
        <w:pStyle w:val="29"/>
        <w:jc w:val="both"/>
        <w:rPr>
          <w:rFonts w:ascii="Arial" w:hAnsi="Arial" w:cs="Arial"/>
        </w:rPr>
      </w:pPr>
    </w:p>
    <w:p>
      <w:pPr>
        <w:pStyle w:val="3"/>
        <w:numPr>
          <w:ilvl w:val="0"/>
          <w:numId w:val="12"/>
        </w:numPr>
        <w:spacing w:line="240" w:lineRule="auto"/>
        <w:jc w:val="both"/>
        <w:rPr>
          <w:rFonts w:ascii="Arial" w:hAnsi="Arial" w:cs="Arial"/>
          <w:sz w:val="24"/>
          <w:szCs w:val="24"/>
        </w:rPr>
      </w:pPr>
      <w:r>
        <w:rPr>
          <w:rFonts w:ascii="Arial" w:hAnsi="Arial" w:cs="Arial"/>
          <w:sz w:val="24"/>
          <w:szCs w:val="24"/>
        </w:rPr>
        <w:t>Realização de feiras e eventos de arte e cultura;</w:t>
      </w:r>
    </w:p>
    <w:p>
      <w:pPr>
        <w:pStyle w:val="3"/>
        <w:numPr>
          <w:ilvl w:val="0"/>
          <w:numId w:val="12"/>
        </w:numPr>
        <w:spacing w:line="240" w:lineRule="auto"/>
        <w:jc w:val="both"/>
        <w:rPr>
          <w:rFonts w:ascii="Arial" w:hAnsi="Arial" w:cs="Arial"/>
          <w:sz w:val="24"/>
          <w:szCs w:val="24"/>
        </w:rPr>
      </w:pPr>
      <w:r>
        <w:rPr>
          <w:rFonts w:ascii="Arial" w:hAnsi="Arial" w:cs="Arial"/>
          <w:sz w:val="24"/>
          <w:szCs w:val="24"/>
        </w:rPr>
        <w:t>Comercialização de produtos oriundos da agricultura familiar;</w:t>
      </w:r>
    </w:p>
    <w:p>
      <w:pPr>
        <w:pStyle w:val="3"/>
        <w:numPr>
          <w:ilvl w:val="0"/>
          <w:numId w:val="12"/>
        </w:numPr>
        <w:spacing w:line="240" w:lineRule="auto"/>
        <w:jc w:val="both"/>
        <w:rPr>
          <w:rFonts w:ascii="Arial" w:hAnsi="Arial" w:cs="Arial"/>
          <w:sz w:val="24"/>
          <w:szCs w:val="24"/>
        </w:rPr>
      </w:pPr>
      <w:r>
        <w:rPr>
          <w:rFonts w:ascii="Arial" w:hAnsi="Arial" w:cs="Arial"/>
          <w:sz w:val="24"/>
          <w:szCs w:val="24"/>
        </w:rPr>
        <w:t>Realização de eventos esportivos;</w:t>
      </w:r>
    </w:p>
    <w:p>
      <w:pPr>
        <w:pStyle w:val="3"/>
        <w:numPr>
          <w:ilvl w:val="0"/>
          <w:numId w:val="12"/>
        </w:numPr>
        <w:spacing w:line="240" w:lineRule="auto"/>
        <w:jc w:val="both"/>
        <w:rPr>
          <w:rFonts w:ascii="Arial" w:hAnsi="Arial" w:cs="Arial"/>
          <w:sz w:val="24"/>
          <w:szCs w:val="24"/>
        </w:rPr>
      </w:pPr>
      <w:r>
        <w:rPr>
          <w:rFonts w:ascii="Arial" w:hAnsi="Arial" w:cs="Arial"/>
          <w:sz w:val="24"/>
          <w:szCs w:val="24"/>
        </w:rPr>
        <w:t>Promoção de socialização;</w:t>
      </w:r>
    </w:p>
    <w:p>
      <w:pPr>
        <w:pStyle w:val="3"/>
        <w:numPr>
          <w:ilvl w:val="0"/>
          <w:numId w:val="12"/>
        </w:numPr>
        <w:spacing w:after="52" w:line="240" w:lineRule="auto"/>
        <w:jc w:val="both"/>
        <w:rPr>
          <w:rFonts w:ascii="Arial" w:hAnsi="Arial" w:cs="Arial"/>
        </w:rPr>
      </w:pPr>
      <w:r>
        <w:rPr>
          <w:rFonts w:ascii="Arial" w:hAnsi="Arial" w:cs="Arial"/>
          <w:sz w:val="24"/>
          <w:szCs w:val="24"/>
        </w:rPr>
        <w:t xml:space="preserve">Lazer para as crianças que contarão com o parque infantil; </w:t>
      </w:r>
    </w:p>
    <w:p>
      <w:pPr>
        <w:pStyle w:val="3"/>
        <w:numPr>
          <w:ilvl w:val="0"/>
          <w:numId w:val="12"/>
        </w:numPr>
        <w:spacing w:after="52" w:line="240" w:lineRule="auto"/>
        <w:jc w:val="both"/>
        <w:rPr>
          <w:rFonts w:ascii="Arial" w:hAnsi="Arial" w:cs="Arial"/>
          <w:sz w:val="24"/>
          <w:szCs w:val="24"/>
        </w:rPr>
      </w:pPr>
      <w:r>
        <w:rPr>
          <w:rFonts w:ascii="Arial" w:hAnsi="Arial" w:cs="Arial"/>
          <w:sz w:val="24"/>
          <w:szCs w:val="24"/>
        </w:rPr>
        <w:t>Proporcionar melhor qualidade de vida a população dos municípios beneficiados;</w:t>
      </w:r>
    </w:p>
    <w:p>
      <w:pPr>
        <w:pStyle w:val="3"/>
        <w:spacing w:after="52" w:line="240" w:lineRule="auto"/>
        <w:jc w:val="both"/>
        <w:rPr>
          <w:rFonts w:ascii="Arial" w:hAnsi="Arial" w:cs="Arial"/>
          <w:sz w:val="24"/>
          <w:szCs w:val="24"/>
        </w:rPr>
      </w:pPr>
    </w:p>
    <w:p>
      <w:pPr>
        <w:pStyle w:val="2"/>
        <w:rPr>
          <w:rFonts w:cs="Arial"/>
          <w:sz w:val="24"/>
        </w:rPr>
      </w:pPr>
      <w:r>
        <w:rPr>
          <w:rFonts w:cs="Arial"/>
          <w:sz w:val="24"/>
        </w:rPr>
        <w:t xml:space="preserve"> </w:t>
      </w:r>
      <w:bookmarkStart w:id="13" w:name="_Toc81472280"/>
      <w:r>
        <w:rPr>
          <w:rFonts w:cs="Arial"/>
          <w:sz w:val="24"/>
        </w:rPr>
        <w:t>ALINHAMENTO DA DEMANDA COM O PLANEJAMENTO ESTRATÉGICO INSTITUCIONAL – PEI</w:t>
      </w:r>
      <w:bookmarkEnd w:id="13"/>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Tal demanda se alinha ao Planejamento Estratégico Institucional – PEI (2017-2021) da CODEVASF no que se refere à melhoria contínua de processos de desenvolvimento das áreas onde a empresa atua. </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 detalhamento das ações da empresa consta no Plano Anual de Negócios da CODEVASF.</w:t>
      </w:r>
      <w:r>
        <w:rPr>
          <w:rFonts w:ascii="Arial" w:hAnsi="Arial" w:cs="Arial"/>
          <w:sz w:val="24"/>
          <w:szCs w:val="24"/>
          <w:lang w:eastAsia="pt-BR"/>
        </w:rPr>
        <w:t xml:space="preserve">    </w:t>
      </w:r>
      <w:r>
        <w:rPr>
          <w:rFonts w:ascii="Arial" w:hAnsi="Arial" w:cs="Arial"/>
          <w:sz w:val="24"/>
          <w:szCs w:val="24"/>
        </w:rPr>
        <w:t xml:space="preserve"> </w:t>
      </w:r>
      <w:r>
        <w:rPr>
          <w:rFonts w:ascii="Arial" w:hAnsi="Arial" w:cs="Arial"/>
          <w:sz w:val="24"/>
          <w:szCs w:val="24"/>
          <w:lang w:eastAsia="pt-BR"/>
        </w:rPr>
        <w:t xml:space="preserve"> </w:t>
      </w:r>
      <w:r>
        <w:rPr>
          <w:rFonts w:ascii="Arial" w:hAnsi="Arial" w:cs="Arial"/>
          <w:sz w:val="24"/>
          <w:szCs w:val="24"/>
        </w:rPr>
        <w:t xml:space="preserve">                                       </w:t>
      </w:r>
      <w:r>
        <w:rPr>
          <w:rFonts w:ascii="Arial" w:hAnsi="Arial" w:cs="Arial"/>
          <w:sz w:val="24"/>
          <w:szCs w:val="24"/>
        </w:rPr>
        <w:br w:type="textWrapping" w:clear="all"/>
      </w:r>
    </w:p>
    <w:p>
      <w:pPr>
        <w:pStyle w:val="2"/>
        <w:rPr>
          <w:rFonts w:cs="Arial"/>
          <w:sz w:val="24"/>
        </w:rPr>
      </w:pPr>
      <w:r>
        <w:rPr>
          <w:rFonts w:cs="Arial"/>
          <w:sz w:val="24"/>
        </w:rPr>
        <w:t xml:space="preserve"> </w:t>
      </w:r>
      <w:bookmarkStart w:id="14" w:name="_Toc81472281"/>
      <w:r>
        <w:rPr>
          <w:rFonts w:cs="Arial"/>
          <w:sz w:val="24"/>
        </w:rPr>
        <w:t>PROVIDÊNCIAS ADOTADAS PREVIAMENTE À CELEBRAÇÃO DO CONTRATO</w:t>
      </w:r>
      <w:bookmarkEnd w:id="14"/>
    </w:p>
    <w:p>
      <w:pPr>
        <w:pStyle w:val="3"/>
        <w:autoSpaceDE w:val="0"/>
        <w:autoSpaceDN w:val="0"/>
        <w:adjustRightInd w:val="0"/>
        <w:spacing w:after="0" w:line="240" w:lineRule="auto"/>
        <w:jc w:val="both"/>
        <w:rPr>
          <w:rFonts w:ascii="Arial" w:hAnsi="Arial" w:cs="Arial"/>
          <w:b/>
          <w:bCs/>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Dentre as providências a serem adotadas pela administração previamente à celebração do contrato, consta a indicação em TR e seus anexos do local onde serão executadas as obras/serviços, critérios para pagamento, lista de obrigações das partes contratuais, dentre outras informações e orientações relevantes.</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No processo administrativo pertinente à contratação das obras/serviços constam todos os documentos cabíveis e necessários emitidos para o fiel cumprimento do objeto proposto, instrumento que irá nortear as ações competentes da fiscalização nomeada para tal.</w:t>
      </w:r>
    </w:p>
    <w:p>
      <w:pPr>
        <w:autoSpaceDE w:val="0"/>
        <w:autoSpaceDN w:val="0"/>
        <w:adjustRightInd w:val="0"/>
        <w:spacing w:after="0" w:line="240" w:lineRule="auto"/>
        <w:jc w:val="both"/>
        <w:rPr>
          <w:rFonts w:ascii="Arial" w:hAnsi="Arial" w:cs="Arial"/>
          <w:sz w:val="24"/>
          <w:szCs w:val="24"/>
        </w:rPr>
      </w:pPr>
    </w:p>
    <w:p>
      <w:pPr>
        <w:pStyle w:val="2"/>
        <w:rPr>
          <w:rFonts w:cs="Arial"/>
          <w:sz w:val="24"/>
        </w:rPr>
      </w:pPr>
      <w:r>
        <w:rPr>
          <w:rFonts w:cs="Arial"/>
          <w:color w:val="FF0000"/>
          <w:sz w:val="24"/>
        </w:rPr>
        <w:t xml:space="preserve"> </w:t>
      </w:r>
      <w:r>
        <w:rPr>
          <w:rFonts w:cs="Arial"/>
          <w:sz w:val="24"/>
        </w:rPr>
        <w:t xml:space="preserve"> </w:t>
      </w:r>
      <w:bookmarkStart w:id="15" w:name="_Toc81472282"/>
      <w:r>
        <w:rPr>
          <w:rFonts w:cs="Arial"/>
          <w:sz w:val="24"/>
        </w:rPr>
        <w:t>IMPACTOS AMBIENTAIS E RESPECTIVAS MEDIDAS DE TRATAMENTO – CRITÉRIOS DE SUSTENTABILIDADE AMBIENTAL</w:t>
      </w:r>
      <w:bookmarkEnd w:id="15"/>
    </w:p>
    <w:p>
      <w:pPr>
        <w:pStyle w:val="4"/>
        <w:numPr>
          <w:ilvl w:val="0"/>
          <w:numId w:val="0"/>
        </w:numPr>
        <w:spacing w:before="120" w:after="120"/>
        <w:contextualSpacing w:val="0"/>
        <w:rPr>
          <w:rFonts w:cs="Arial"/>
          <w:sz w:val="24"/>
        </w:rPr>
      </w:pPr>
      <w:bookmarkStart w:id="16" w:name="_Toc81407824"/>
      <w:bookmarkStart w:id="17" w:name="_Toc80348798"/>
      <w:bookmarkStart w:id="18" w:name="_Toc81472283"/>
      <w:bookmarkStart w:id="19" w:name="_Toc81406307"/>
      <w:bookmarkStart w:id="20" w:name="_Toc81403868"/>
      <w:r>
        <w:rPr>
          <w:rFonts w:cs="Arial" w:eastAsiaTheme="minorHAnsi"/>
          <w:sz w:val="24"/>
        </w:rPr>
        <w:t>A licitante contratada deverá adotar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6"/>
      <w:bookmarkEnd w:id="17"/>
      <w:bookmarkEnd w:id="18"/>
      <w:bookmarkEnd w:id="19"/>
      <w:bookmarkEnd w:id="20"/>
      <w:r>
        <w:rPr>
          <w:rFonts w:cs="Arial"/>
          <w:sz w:val="24"/>
        </w:rPr>
        <w:t xml:space="preserve"> </w:t>
      </w:r>
    </w:p>
    <w:p>
      <w:pPr>
        <w:pStyle w:val="4"/>
        <w:numPr>
          <w:ilvl w:val="1"/>
          <w:numId w:val="13"/>
        </w:numPr>
        <w:spacing w:before="120" w:after="120"/>
        <w:ind w:left="1276" w:hanging="567"/>
        <w:contextualSpacing w:val="0"/>
        <w:rPr>
          <w:rFonts w:cs="Arial"/>
          <w:sz w:val="24"/>
        </w:rPr>
      </w:pPr>
      <w:bookmarkStart w:id="21" w:name="_Toc81407825"/>
      <w:bookmarkStart w:id="22" w:name="_Toc80348799"/>
      <w:bookmarkStart w:id="23" w:name="_Toc81403869"/>
      <w:bookmarkStart w:id="24" w:name="_Toc81472284"/>
      <w:bookmarkStart w:id="25" w:name="_Toc81406308"/>
      <w:r>
        <w:rPr>
          <w:rFonts w:cs="Arial"/>
          <w:sz w:val="24"/>
        </w:rPr>
        <w:t>Adotar práticas de gestão que garantam os direitos trabalhistas e o atendimento às normas internas e de segurança e medicina do trabalho para seus empregados;</w:t>
      </w:r>
      <w:bookmarkEnd w:id="21"/>
      <w:bookmarkEnd w:id="22"/>
      <w:bookmarkEnd w:id="23"/>
      <w:bookmarkEnd w:id="24"/>
      <w:bookmarkEnd w:id="25"/>
    </w:p>
    <w:p>
      <w:pPr>
        <w:pStyle w:val="4"/>
        <w:numPr>
          <w:ilvl w:val="1"/>
          <w:numId w:val="13"/>
        </w:numPr>
        <w:spacing w:before="120" w:after="120"/>
        <w:ind w:left="1276" w:hanging="567"/>
        <w:contextualSpacing w:val="0"/>
        <w:rPr>
          <w:rFonts w:cs="Arial"/>
          <w:sz w:val="24"/>
        </w:rPr>
      </w:pPr>
      <w:bookmarkStart w:id="26" w:name="_Toc81406309"/>
      <w:bookmarkStart w:id="27" w:name="_Toc81403870"/>
      <w:bookmarkStart w:id="28" w:name="_Toc81472285"/>
      <w:bookmarkStart w:id="29" w:name="_Toc81407826"/>
      <w:bookmarkStart w:id="30" w:name="_Toc80348800"/>
      <w:r>
        <w:rPr>
          <w:rFonts w:cs="Arial"/>
          <w:sz w:val="24"/>
        </w:rPr>
        <w:t>Administrar situações emergenciais de acidentes com eficácia, mitigando os impactos aos empregados, colaboradores, usuários e ao meio ambiente;</w:t>
      </w:r>
      <w:bookmarkEnd w:id="26"/>
      <w:bookmarkEnd w:id="27"/>
      <w:bookmarkEnd w:id="28"/>
      <w:bookmarkEnd w:id="29"/>
      <w:bookmarkEnd w:id="30"/>
    </w:p>
    <w:p>
      <w:pPr>
        <w:pStyle w:val="4"/>
        <w:numPr>
          <w:ilvl w:val="1"/>
          <w:numId w:val="13"/>
        </w:numPr>
        <w:spacing w:before="120" w:after="120"/>
        <w:ind w:left="1276" w:hanging="567"/>
        <w:contextualSpacing w:val="0"/>
        <w:rPr>
          <w:rFonts w:cs="Arial"/>
          <w:sz w:val="24"/>
        </w:rPr>
      </w:pPr>
      <w:bookmarkStart w:id="31" w:name="_Toc81403871"/>
      <w:bookmarkStart w:id="32" w:name="_Toc81406310"/>
      <w:bookmarkStart w:id="33" w:name="_Toc81472286"/>
      <w:bookmarkStart w:id="34" w:name="_Toc81407827"/>
      <w:bookmarkStart w:id="35" w:name="_Toc80348801"/>
      <w:r>
        <w:rPr>
          <w:rFonts w:cs="Arial"/>
          <w:sz w:val="24"/>
        </w:rPr>
        <w:t>Disponibilizar os Equipamentos de Proteção Individual (EPIs) aos empregados para a execução das atividades de modo confortável, seguro e de acordo com as condições climáticas, favorecendo a qualidade de vida no ambiente de trabalho;</w:t>
      </w:r>
      <w:bookmarkEnd w:id="31"/>
      <w:bookmarkEnd w:id="32"/>
      <w:bookmarkEnd w:id="33"/>
      <w:bookmarkEnd w:id="34"/>
      <w:bookmarkEnd w:id="35"/>
    </w:p>
    <w:p>
      <w:pPr>
        <w:pStyle w:val="4"/>
        <w:numPr>
          <w:ilvl w:val="1"/>
          <w:numId w:val="13"/>
        </w:numPr>
        <w:spacing w:before="120" w:after="120"/>
        <w:ind w:left="1276" w:hanging="567"/>
        <w:contextualSpacing w:val="0"/>
        <w:rPr>
          <w:rFonts w:cs="Arial"/>
          <w:sz w:val="24"/>
        </w:rPr>
      </w:pPr>
      <w:bookmarkStart w:id="36" w:name="_Toc80348802"/>
      <w:bookmarkStart w:id="37" w:name="_Toc81472287"/>
      <w:bookmarkStart w:id="38" w:name="_Toc81407828"/>
      <w:bookmarkStart w:id="39" w:name="_Toc81403872"/>
      <w:bookmarkStart w:id="40" w:name="_Toc81406311"/>
      <w:r>
        <w:rPr>
          <w:rFonts w:cs="Arial"/>
          <w:sz w:val="24"/>
        </w:rPr>
        <w:t>Orientar sobre o cumprimento das normas de segurança e medicina do trabalho, tais como prevenção de incêndio nas áreas da prestação de serviço, zelando pela segurança e pela saúde dos usuários e da circunvizinhança;</w:t>
      </w:r>
      <w:bookmarkEnd w:id="36"/>
      <w:bookmarkEnd w:id="37"/>
      <w:bookmarkEnd w:id="38"/>
      <w:bookmarkEnd w:id="39"/>
      <w:bookmarkEnd w:id="40"/>
    </w:p>
    <w:p>
      <w:pPr>
        <w:pStyle w:val="4"/>
        <w:numPr>
          <w:ilvl w:val="1"/>
          <w:numId w:val="13"/>
        </w:numPr>
        <w:spacing w:before="120" w:after="120"/>
        <w:ind w:left="1276" w:hanging="567"/>
        <w:contextualSpacing w:val="0"/>
        <w:rPr>
          <w:rFonts w:cs="Arial"/>
          <w:sz w:val="24"/>
        </w:rPr>
      </w:pPr>
      <w:bookmarkStart w:id="41" w:name="_Toc80348803"/>
      <w:bookmarkStart w:id="42" w:name="_Toc81406312"/>
      <w:bookmarkStart w:id="43" w:name="_Toc81472288"/>
      <w:bookmarkStart w:id="44" w:name="_Toc81407829"/>
      <w:bookmarkStart w:id="45" w:name="_Toc81403873"/>
      <w:r>
        <w:rPr>
          <w:rFonts w:cs="Arial"/>
          <w:sz w:val="24"/>
        </w:rPr>
        <w:t>Respeitar as Normas Brasileiras – NBR publicadas pela Associação Brasileira de Normas Técnicas sobre resíduos sólidos;</w:t>
      </w:r>
      <w:bookmarkEnd w:id="41"/>
      <w:bookmarkEnd w:id="42"/>
      <w:bookmarkEnd w:id="43"/>
      <w:bookmarkEnd w:id="44"/>
      <w:bookmarkEnd w:id="45"/>
    </w:p>
    <w:p>
      <w:pPr>
        <w:spacing w:line="240" w:lineRule="auto"/>
        <w:ind w:left="708"/>
        <w:rPr>
          <w:rFonts w:ascii="Arial" w:hAnsi="Arial" w:cs="Arial"/>
          <w:sz w:val="24"/>
          <w:szCs w:val="24"/>
        </w:rPr>
      </w:pPr>
      <w:r>
        <w:rPr>
          <w:rFonts w:ascii="Arial" w:hAnsi="Arial" w:cs="Arial"/>
          <w:sz w:val="24"/>
          <w:szCs w:val="24"/>
        </w:rPr>
        <w:t>No mais, em que for cabível.</w:t>
      </w:r>
    </w:p>
    <w:p>
      <w:pPr>
        <w:pStyle w:val="2"/>
        <w:rPr>
          <w:rFonts w:cs="Arial"/>
          <w:sz w:val="24"/>
        </w:rPr>
      </w:pPr>
      <w:r>
        <w:rPr>
          <w:rFonts w:cs="Arial"/>
          <w:sz w:val="24"/>
        </w:rPr>
        <w:t xml:space="preserve"> </w:t>
      </w:r>
      <w:bookmarkStart w:id="46" w:name="_Toc81472289"/>
      <w:r>
        <w:rPr>
          <w:rFonts w:cs="Arial"/>
          <w:sz w:val="24"/>
        </w:rPr>
        <w:t>PARCELAMENTO DO OBJETO</w:t>
      </w:r>
      <w:bookmarkEnd w:id="46"/>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 licitação será por Lote devido às especificações técnicas dos lotes, proporcionando uma maior competição entre as empresas, obtendo a melhor proposta para a administração pública.</w:t>
      </w:r>
    </w:p>
    <w:p>
      <w:pPr>
        <w:autoSpaceDE w:val="0"/>
        <w:autoSpaceDN w:val="0"/>
        <w:adjustRightInd w:val="0"/>
        <w:spacing w:after="0" w:line="240" w:lineRule="auto"/>
        <w:jc w:val="both"/>
        <w:rPr>
          <w:rFonts w:ascii="Arial" w:hAnsi="Arial" w:cs="Arial"/>
          <w:sz w:val="24"/>
          <w:szCs w:val="24"/>
        </w:rPr>
      </w:pPr>
    </w:p>
    <w:p>
      <w:pPr>
        <w:pStyle w:val="2"/>
        <w:rPr>
          <w:rFonts w:cs="Arial"/>
          <w:sz w:val="24"/>
        </w:rPr>
      </w:pPr>
      <w:bookmarkStart w:id="47" w:name="_Toc81472290"/>
      <w:r>
        <w:rPr>
          <w:rFonts w:cs="Arial"/>
          <w:sz w:val="24"/>
        </w:rPr>
        <w:t>CONTRATAÇÕES CORRELATAS E/OU INTERDEPENDENTES</w:t>
      </w:r>
      <w:bookmarkEnd w:id="47"/>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hint="default" w:ascii="Arial" w:hAnsi="Arial" w:eastAsia="Calibri" w:cs="Arial"/>
          <w:sz w:val="24"/>
          <w:szCs w:val="24"/>
        </w:rPr>
      </w:pPr>
      <w:r>
        <w:rPr>
          <w:rFonts w:hint="default" w:ascii="Arial" w:hAnsi="Arial" w:cs="Arial"/>
          <w:sz w:val="24"/>
          <w:szCs w:val="24"/>
        </w:rPr>
        <w:t>Não aplicável. Não se verifica contratações correlatas nem interdependentes para a viabilidade desta demanda.</w:t>
      </w:r>
    </w:p>
    <w:p>
      <w:pPr>
        <w:autoSpaceDE w:val="0"/>
        <w:autoSpaceDN w:val="0"/>
        <w:adjustRightInd w:val="0"/>
        <w:spacing w:after="0" w:line="240" w:lineRule="auto"/>
        <w:jc w:val="both"/>
        <w:rPr>
          <w:rFonts w:ascii="Arial" w:hAnsi="Arial" w:cs="Arial"/>
          <w:sz w:val="24"/>
          <w:szCs w:val="24"/>
        </w:rPr>
      </w:pPr>
    </w:p>
    <w:p>
      <w:pPr>
        <w:pStyle w:val="2"/>
        <w:rPr>
          <w:rFonts w:cs="Arial"/>
          <w:sz w:val="24"/>
        </w:rPr>
      </w:pPr>
      <w:r>
        <w:rPr>
          <w:rFonts w:cs="Arial"/>
          <w:sz w:val="24"/>
        </w:rPr>
        <w:t xml:space="preserve"> </w:t>
      </w:r>
      <w:bookmarkStart w:id="48" w:name="_Toc81472291"/>
      <w:r>
        <w:rPr>
          <w:rFonts w:cs="Arial"/>
          <w:sz w:val="24"/>
        </w:rPr>
        <w:t>MODALIDADE E TIPO DE LICITAÇÃO</w:t>
      </w:r>
      <w:bookmarkEnd w:id="48"/>
      <w:r>
        <w:rPr>
          <w:rFonts w:cs="Arial"/>
          <w:sz w:val="24"/>
        </w:rPr>
        <w:t xml:space="preserve"> </w:t>
      </w:r>
    </w:p>
    <w:p>
      <w:pPr>
        <w:pStyle w:val="4"/>
        <w:numPr>
          <w:ilvl w:val="0"/>
          <w:numId w:val="0"/>
        </w:numPr>
        <w:spacing w:before="120" w:after="120"/>
        <w:contextualSpacing w:val="0"/>
        <w:rPr>
          <w:rFonts w:cs="Arial" w:eastAsiaTheme="minorHAnsi"/>
          <w:sz w:val="24"/>
        </w:rPr>
      </w:pPr>
      <w:bookmarkStart w:id="49" w:name="_Toc81472292"/>
      <w:bookmarkStart w:id="50" w:name="_Toc81407833"/>
      <w:bookmarkStart w:id="51" w:name="_Toc81406316"/>
      <w:bookmarkStart w:id="52" w:name="_Toc81403874"/>
      <w:r>
        <w:rPr>
          <w:rFonts w:cs="Arial" w:eastAsiaTheme="minorHAnsi"/>
          <w:sz w:val="24"/>
        </w:rPr>
        <w:t xml:space="preserve">A contratação dar-se-á por meio da modalidade licitatória Eletrônica, </w:t>
      </w:r>
      <w:r>
        <w:rPr>
          <w:rFonts w:hint="default" w:cs="Arial" w:eastAsiaTheme="minorHAnsi"/>
          <w:sz w:val="24"/>
          <w:lang w:val="pt-BR"/>
        </w:rPr>
        <w:t xml:space="preserve">Empreitada por preço unitário </w:t>
      </w:r>
      <w:bookmarkStart w:id="60" w:name="_GoBack"/>
      <w:bookmarkEnd w:id="60"/>
      <w:r>
        <w:rPr>
          <w:rFonts w:cs="Arial" w:eastAsiaTheme="minorHAnsi"/>
          <w:sz w:val="24"/>
        </w:rPr>
        <w:t>do tipo menor preço.</w:t>
      </w:r>
      <w:bookmarkEnd w:id="49"/>
      <w:bookmarkEnd w:id="50"/>
      <w:bookmarkEnd w:id="51"/>
      <w:bookmarkEnd w:id="52"/>
      <w:r>
        <w:rPr>
          <w:rFonts w:cs="Arial" w:eastAsiaTheme="minorHAnsi"/>
          <w:sz w:val="24"/>
        </w:rPr>
        <w:t xml:space="preserve"> </w:t>
      </w:r>
    </w:p>
    <w:p>
      <w:pPr>
        <w:pStyle w:val="3"/>
        <w:autoSpaceDE w:val="0"/>
        <w:autoSpaceDN w:val="0"/>
        <w:adjustRightInd w:val="0"/>
        <w:spacing w:after="0" w:line="240" w:lineRule="auto"/>
        <w:jc w:val="both"/>
        <w:rPr>
          <w:rFonts w:ascii="Arial" w:hAnsi="Arial" w:cs="Arial"/>
          <w:b/>
          <w:bCs/>
          <w:sz w:val="24"/>
          <w:szCs w:val="24"/>
        </w:rPr>
      </w:pPr>
    </w:p>
    <w:p>
      <w:pPr>
        <w:pStyle w:val="2"/>
        <w:rPr>
          <w:rFonts w:cs="Arial"/>
          <w:sz w:val="24"/>
        </w:rPr>
      </w:pPr>
      <w:r>
        <w:rPr>
          <w:rFonts w:cs="Arial"/>
          <w:sz w:val="24"/>
        </w:rPr>
        <w:t xml:space="preserve"> </w:t>
      </w:r>
      <w:bookmarkStart w:id="53" w:name="_Toc81472293"/>
      <w:r>
        <w:rPr>
          <w:rFonts w:cs="Arial"/>
          <w:sz w:val="24"/>
        </w:rPr>
        <w:t>CLASSIFICAÇÃO E INDICAÇÃO ORÇAMENTÁRIA</w:t>
      </w:r>
      <w:bookmarkEnd w:id="53"/>
      <w:r>
        <w:rPr>
          <w:rFonts w:cs="Arial"/>
          <w:sz w:val="24"/>
        </w:rPr>
        <w:t xml:space="preserve"> </w:t>
      </w:r>
    </w:p>
    <w:p>
      <w:pPr>
        <w:pStyle w:val="4"/>
        <w:numPr>
          <w:ilvl w:val="0"/>
          <w:numId w:val="0"/>
        </w:numPr>
        <w:spacing w:before="120" w:after="120"/>
        <w:contextualSpacing w:val="0"/>
        <w:rPr>
          <w:rFonts w:cs="Arial" w:eastAsiaTheme="minorHAnsi"/>
          <w:sz w:val="24"/>
        </w:rPr>
      </w:pPr>
      <w:bookmarkStart w:id="54" w:name="_Toc81403875"/>
      <w:bookmarkStart w:id="55" w:name="_Toc81407835"/>
      <w:bookmarkStart w:id="56" w:name="_Toc81406318"/>
      <w:bookmarkStart w:id="57" w:name="_Toc81472294"/>
      <w:r>
        <w:rPr>
          <w:rFonts w:cs="Arial" w:eastAsiaTheme="minorHAnsi"/>
          <w:sz w:val="24"/>
        </w:rPr>
        <w:t xml:space="preserve">O objeto deste planejamento de contratação está previsto no Plano Anual de Trabalho 2021, com a descrição: 15.244.2217.7K66. 0029 - Apoio a Projetos de Desenvolvimento Sustentável Local Integrado - No Estado da Bahia. </w:t>
      </w:r>
    </w:p>
    <w:bookmarkEnd w:id="54"/>
    <w:bookmarkEnd w:id="55"/>
    <w:bookmarkEnd w:id="56"/>
    <w:bookmarkEnd w:id="57"/>
    <w:p>
      <w:pPr>
        <w:pStyle w:val="3"/>
        <w:autoSpaceDE w:val="0"/>
        <w:autoSpaceDN w:val="0"/>
        <w:adjustRightInd w:val="0"/>
        <w:spacing w:after="0" w:line="240" w:lineRule="auto"/>
        <w:jc w:val="both"/>
        <w:rPr>
          <w:rFonts w:ascii="Arial" w:hAnsi="Arial" w:cs="Arial"/>
          <w:b/>
          <w:bCs/>
          <w:sz w:val="24"/>
          <w:szCs w:val="24"/>
        </w:rPr>
      </w:pPr>
    </w:p>
    <w:p>
      <w:pPr>
        <w:pStyle w:val="2"/>
        <w:rPr>
          <w:rFonts w:cs="Arial"/>
          <w:sz w:val="24"/>
        </w:rPr>
      </w:pPr>
      <w:r>
        <w:rPr>
          <w:rFonts w:cs="Arial"/>
          <w:sz w:val="24"/>
        </w:rPr>
        <w:t xml:space="preserve"> </w:t>
      </w:r>
      <w:bookmarkStart w:id="58" w:name="_Toc81472295"/>
      <w:r>
        <w:rPr>
          <w:rFonts w:cs="Arial"/>
          <w:sz w:val="24"/>
        </w:rPr>
        <w:t>SOBRE A VIABILIDADE E RAZOABILIDADE DA CONTRATAÇÃO</w:t>
      </w:r>
      <w:bookmarkEnd w:id="58"/>
    </w:p>
    <w:p>
      <w:pPr>
        <w:pStyle w:val="11"/>
        <w:spacing w:before="0" w:beforeAutospacing="0" w:after="0" w:afterAutospacing="0"/>
        <w:jc w:val="both"/>
        <w:rPr>
          <w:rFonts w:ascii="Arial" w:hAnsi="Arial" w:cs="Arial"/>
        </w:rPr>
      </w:pPr>
    </w:p>
    <w:p>
      <w:pPr>
        <w:pStyle w:val="11"/>
        <w:spacing w:before="0" w:beforeAutospacing="0" w:after="0" w:afterAutospacing="0"/>
        <w:jc w:val="both"/>
        <w:rPr>
          <w:rFonts w:ascii="Arial" w:hAnsi="Arial" w:cs="Arial"/>
        </w:rPr>
      </w:pPr>
      <w:r>
        <w:rPr>
          <w:rFonts w:ascii="Arial" w:hAnsi="Arial" w:cs="Arial"/>
        </w:rPr>
        <w:t>Os estudos preliminares evidenciaram que a contratação da solução descrita no item "DESCRIÇÃO DA SOLUÇÃO" se mostra tecnicamente possível e fundamentadamente necessária. Diante do exposto, declara-se ser viável a contratação pretendida.</w:t>
      </w:r>
    </w:p>
    <w:p>
      <w:pPr>
        <w:spacing w:line="240" w:lineRule="auto"/>
        <w:rPr>
          <w:rFonts w:ascii="Arial" w:hAnsi="Arial" w:cs="Arial"/>
        </w:rPr>
      </w:pPr>
    </w:p>
    <w:p>
      <w:pPr>
        <w:pStyle w:val="2"/>
        <w:rPr>
          <w:rFonts w:cs="Arial"/>
          <w:color w:val="000000"/>
          <w:sz w:val="24"/>
        </w:rPr>
      </w:pPr>
      <w:bookmarkStart w:id="59" w:name="_Toc81472296"/>
      <w:r>
        <w:rPr>
          <w:rFonts w:cs="Arial"/>
          <w:sz w:val="24"/>
        </w:rPr>
        <w:t>CONSIDERAÇÕES FINAIS</w:t>
      </w:r>
      <w:bookmarkEnd w:id="59"/>
      <w:r>
        <w:rPr>
          <w:rFonts w:cs="Arial"/>
          <w:color w:val="000000"/>
          <w:sz w:val="24"/>
        </w:rPr>
        <w:t xml:space="preserve"> </w:t>
      </w:r>
    </w:p>
    <w:p>
      <w:pPr>
        <w:pStyle w:val="3"/>
        <w:autoSpaceDE w:val="0"/>
        <w:autoSpaceDN w:val="0"/>
        <w:adjustRightInd w:val="0"/>
        <w:spacing w:after="0" w:line="240" w:lineRule="auto"/>
        <w:rPr>
          <w:rFonts w:ascii="Arial" w:hAnsi="Arial" w:cs="Arial"/>
          <w:b/>
          <w:color w:val="000000"/>
          <w:sz w:val="24"/>
          <w:szCs w:val="24"/>
        </w:rPr>
      </w:pPr>
    </w:p>
    <w:p>
      <w:pPr>
        <w:pStyle w:val="29"/>
        <w:jc w:val="both"/>
        <w:rPr>
          <w:rFonts w:ascii="Arial" w:hAnsi="Arial" w:cs="Arial"/>
        </w:rPr>
      </w:pPr>
      <w:r>
        <w:rPr>
          <w:rFonts w:ascii="Arial" w:hAnsi="Arial" w:cs="Arial"/>
        </w:rPr>
        <w:t>Considerando a missão da CODEVASF (Desenvolver bacias hidrográficas de forma integrada e sustentável, contribuindo para a redução das desigualdades regionais), entende-se necessária a realização de licitação, visando à contratação de empresa para a execução dos serviços relativos à Construção de 04 (quatro) praças e à Requalificação de 01 (uma) praça em municípios, previamente indicados, localizados na área de atuação da 2ª Superintendência Regional da CODEVASF, no estado da Bahia.</w:t>
      </w:r>
    </w:p>
    <w:p>
      <w:pPr>
        <w:pStyle w:val="29"/>
        <w:jc w:val="both"/>
        <w:rPr>
          <w:rFonts w:ascii="Arial" w:hAnsi="Arial" w:cs="Arial"/>
        </w:rPr>
      </w:pPr>
    </w:p>
    <w:p>
      <w:pPr>
        <w:autoSpaceDE w:val="0"/>
        <w:autoSpaceDN w:val="0"/>
        <w:adjustRightInd w:val="0"/>
        <w:spacing w:after="0" w:line="240" w:lineRule="auto"/>
        <w:rPr>
          <w:rStyle w:val="39"/>
          <w:rFonts w:ascii="Arial" w:hAnsi="Arial" w:cs="Arial"/>
          <w:sz w:val="24"/>
          <w:szCs w:val="24"/>
        </w:rPr>
      </w:pPr>
    </w:p>
    <w:sectPr>
      <w:footerReference r:id="rId5" w:type="first"/>
      <w:headerReference r:id="rId3" w:type="default"/>
      <w:footerReference r:id="rId4" w:type="default"/>
      <w:pgSz w:w="11906" w:h="16838"/>
      <w:pgMar w:top="1853" w:right="1133" w:bottom="1276" w:left="1134" w:header="56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Wingdings">
    <w:panose1 w:val="05000000000000000000"/>
    <w:charset w:val="02"/>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5183612"/>
    </w:sdtPr>
    <w:sdtContent>
      <w:p>
        <w:pPr>
          <w:pStyle w:val="14"/>
          <w:jc w:val="right"/>
        </w:pPr>
        <w:r>
          <w:fldChar w:fldCharType="begin"/>
        </w:r>
        <w:r>
          <w:instrText xml:space="preserve"> PAGE   \* MERGEFORMAT </w:instrText>
        </w:r>
        <w:r>
          <w:fldChar w:fldCharType="separate"/>
        </w:r>
        <w:r>
          <w:t>2</w:t>
        </w:r>
        <w:r>
          <w:fldChar w:fldCharType="end"/>
        </w: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1777678"/>
    </w:sdtPr>
    <w:sdtContent>
      <w:p>
        <w:pPr>
          <w:pStyle w:val="14"/>
          <w:jc w:val="right"/>
        </w:pPr>
        <w:r>
          <w:fldChar w:fldCharType="begin"/>
        </w:r>
        <w:r>
          <w:instrText xml:space="preserve"> PAGE   \* MERGEFORMAT </w:instrText>
        </w:r>
        <w:r>
          <w:fldChar w:fldCharType="separate"/>
        </w:r>
        <w:r>
          <w:t>1</w:t>
        </w:r>
        <w: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4"/>
      <w:tblW w:w="10206" w:type="dxa"/>
      <w:jc w:val="center"/>
      <w:tblInd w:w="0" w:type="dxa"/>
      <w:tblLayout w:type="fixed"/>
      <w:tblCellMar>
        <w:top w:w="0" w:type="dxa"/>
        <w:left w:w="108" w:type="dxa"/>
        <w:bottom w:w="0" w:type="dxa"/>
        <w:right w:w="108" w:type="dxa"/>
      </w:tblCellMar>
    </w:tblPr>
    <w:tblGrid>
      <w:gridCol w:w="2916"/>
      <w:gridCol w:w="7290"/>
    </w:tblGrid>
    <w:tr>
      <w:tblPrEx>
        <w:tblLayout w:type="fixed"/>
        <w:tblCellMar>
          <w:top w:w="0" w:type="dxa"/>
          <w:left w:w="108" w:type="dxa"/>
          <w:bottom w:w="0" w:type="dxa"/>
          <w:right w:w="108" w:type="dxa"/>
        </w:tblCellMar>
      </w:tblPrEx>
      <w:trPr>
        <w:trHeight w:val="1705" w:hRule="atLeast"/>
        <w:jc w:val="center"/>
      </w:trPr>
      <w:tc>
        <w:tcPr>
          <w:tcW w:w="2916" w:type="dxa"/>
          <w:vAlign w:val="center"/>
        </w:tcPr>
        <w:p>
          <w:pPr>
            <w:pStyle w:val="12"/>
            <w:rPr>
              <w:rFonts w:cs="Arial"/>
              <w:sz w:val="20"/>
            </w:rPr>
          </w:pPr>
          <w:r>
            <w:rPr>
              <w:rFonts w:cs="Arial"/>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7"/>
                        <pic:cNvPicPr>
                          <a:picLocks noChangeAspect="1" noChangeArrowheads="1"/>
                        </pic:cNvPicPr>
                      </pic:nvPicPr>
                      <pic:blipFill>
                        <a:blip r:embed="rId1"/>
                        <a:srcRect/>
                        <a:stretch>
                          <a:fillRect/>
                        </a:stretch>
                      </pic:blipFill>
                      <pic:spPr>
                        <a:xfrm>
                          <a:off x="0" y="0"/>
                          <a:ext cx="1695450" cy="504825"/>
                        </a:xfrm>
                        <a:prstGeom prst="rect">
                          <a:avLst/>
                        </a:prstGeom>
                        <a:noFill/>
                        <a:ln w="9525">
                          <a:noFill/>
                          <a:miter lim="800000"/>
                          <a:headEnd/>
                          <a:tailEnd/>
                        </a:ln>
                      </pic:spPr>
                    </pic:pic>
                  </a:graphicData>
                </a:graphic>
              </wp:inline>
            </w:drawing>
          </w:r>
        </w:p>
      </w:tc>
      <w:tc>
        <w:tcPr>
          <w:tcW w:w="7290" w:type="dxa"/>
          <w:vAlign w:val="center"/>
        </w:tcPr>
        <w:p>
          <w:pPr>
            <w:pStyle w:val="12"/>
            <w:rPr>
              <w:rFonts w:cs="Arial"/>
              <w:b/>
              <w:sz w:val="28"/>
              <w:szCs w:val="28"/>
            </w:rPr>
          </w:pPr>
          <w:r>
            <w:rPr>
              <w:rFonts w:cs="Arial"/>
              <w:b/>
              <w:sz w:val="28"/>
              <w:szCs w:val="28"/>
            </w:rPr>
            <w:t>Ministério do Desenvolvimento Regional</w:t>
          </w:r>
        </w:p>
        <w:p>
          <w:pPr>
            <w:pStyle w:val="12"/>
            <w:rPr>
              <w:rFonts w:cs="Arial"/>
              <w:b/>
              <w:sz w:val="19"/>
              <w:szCs w:val="19"/>
            </w:rPr>
          </w:pPr>
          <w:r>
            <w:rPr>
              <w:rFonts w:cs="Arial"/>
              <w:b/>
              <w:sz w:val="19"/>
              <w:szCs w:val="19"/>
            </w:rPr>
            <w:t>Companhia de Desenvolvimento dos Vales do São Francisco e do Parnaíba</w:t>
          </w:r>
        </w:p>
        <w:p>
          <w:pPr>
            <w:pStyle w:val="12"/>
            <w:rPr>
              <w:rFonts w:cs="Arial"/>
              <w:sz w:val="20"/>
            </w:rPr>
          </w:pPr>
          <w:r>
            <w:rPr>
              <w:rFonts w:cs="Arial"/>
              <w:b/>
              <w:sz w:val="20"/>
            </w:rPr>
            <w:t>2ª Superintendência Regional – Gerência de Infraestrutura - GRD</w:t>
          </w:r>
        </w:p>
      </w:tc>
    </w:tr>
  </w:tbl>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26B8F"/>
    <w:multiLevelType w:val="multilevel"/>
    <w:tmpl w:val="0D826B8F"/>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1">
    <w:nsid w:val="184552E3"/>
    <w:multiLevelType w:val="multilevel"/>
    <w:tmpl w:val="184552E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E7059F2"/>
    <w:multiLevelType w:val="multilevel"/>
    <w:tmpl w:val="1E7059F2"/>
    <w:lvl w:ilvl="0" w:tentative="0">
      <w:start w:val="2"/>
      <w:numFmt w:val="decimal"/>
      <w:pStyle w:val="7"/>
      <w:lvlText w:val="%1.1"/>
      <w:lvlJc w:val="left"/>
      <w:pPr>
        <w:ind w:left="1212" w:hanging="360"/>
      </w:pPr>
      <w:rPr>
        <w:rFonts w:hint="default"/>
      </w:rPr>
    </w:lvl>
    <w:lvl w:ilvl="1" w:tentative="0">
      <w:start w:val="1"/>
      <w:numFmt w:val="lowerLetter"/>
      <w:lvlText w:val="%2."/>
      <w:lvlJc w:val="left"/>
      <w:pPr>
        <w:ind w:left="1932" w:hanging="360"/>
      </w:pPr>
    </w:lvl>
    <w:lvl w:ilvl="2" w:tentative="0">
      <w:start w:val="1"/>
      <w:numFmt w:val="lowerRoman"/>
      <w:lvlText w:val="%3."/>
      <w:lvlJc w:val="right"/>
      <w:pPr>
        <w:ind w:left="2652" w:hanging="180"/>
      </w:pPr>
    </w:lvl>
    <w:lvl w:ilvl="3" w:tentative="0">
      <w:start w:val="1"/>
      <w:numFmt w:val="decimal"/>
      <w:lvlText w:val="%4."/>
      <w:lvlJc w:val="left"/>
      <w:pPr>
        <w:ind w:left="3372" w:hanging="360"/>
      </w:pPr>
    </w:lvl>
    <w:lvl w:ilvl="4" w:tentative="0">
      <w:start w:val="1"/>
      <w:numFmt w:val="lowerLetter"/>
      <w:lvlText w:val="%5."/>
      <w:lvlJc w:val="left"/>
      <w:pPr>
        <w:ind w:left="4092" w:hanging="360"/>
      </w:pPr>
    </w:lvl>
    <w:lvl w:ilvl="5" w:tentative="0">
      <w:start w:val="1"/>
      <w:numFmt w:val="lowerRoman"/>
      <w:lvlText w:val="%6."/>
      <w:lvlJc w:val="right"/>
      <w:pPr>
        <w:ind w:left="4812" w:hanging="180"/>
      </w:pPr>
    </w:lvl>
    <w:lvl w:ilvl="6" w:tentative="0">
      <w:start w:val="1"/>
      <w:numFmt w:val="decimal"/>
      <w:lvlText w:val="%7."/>
      <w:lvlJc w:val="left"/>
      <w:pPr>
        <w:ind w:left="5532" w:hanging="360"/>
      </w:pPr>
    </w:lvl>
    <w:lvl w:ilvl="7" w:tentative="0">
      <w:start w:val="1"/>
      <w:numFmt w:val="lowerLetter"/>
      <w:lvlText w:val="%8."/>
      <w:lvlJc w:val="left"/>
      <w:pPr>
        <w:ind w:left="6252" w:hanging="360"/>
      </w:pPr>
    </w:lvl>
    <w:lvl w:ilvl="8" w:tentative="0">
      <w:start w:val="1"/>
      <w:numFmt w:val="lowerRoman"/>
      <w:lvlText w:val="%9."/>
      <w:lvlJc w:val="right"/>
      <w:pPr>
        <w:ind w:left="6972" w:hanging="180"/>
      </w:pPr>
    </w:lvl>
  </w:abstractNum>
  <w:abstractNum w:abstractNumId="3">
    <w:nsid w:val="221A69D5"/>
    <w:multiLevelType w:val="multilevel"/>
    <w:tmpl w:val="221A69D5"/>
    <w:lvl w:ilvl="0" w:tentative="0">
      <w:start w:val="1"/>
      <w:numFmt w:val="decimal"/>
      <w:pStyle w:val="2"/>
      <w:lvlText w:val="%1."/>
      <w:lvlJc w:val="left"/>
      <w:pPr>
        <w:ind w:left="360" w:hanging="360"/>
      </w:pPr>
      <w:rPr>
        <w:rFonts w:hint="default"/>
      </w:rPr>
    </w:lvl>
    <w:lvl w:ilvl="1" w:tentative="0">
      <w:start w:val="1"/>
      <w:numFmt w:val="decimal"/>
      <w:pStyle w:val="4"/>
      <w:lvlText w:val="%1.%2."/>
      <w:lvlJc w:val="left"/>
      <w:pPr>
        <w:ind w:left="432" w:hanging="432"/>
      </w:pPr>
      <w:rPr>
        <w:rFonts w:hint="default"/>
        <w:b w:val="0"/>
        <w:i w:val="0"/>
        <w:color w:val="auto"/>
        <w:sz w:val="20"/>
        <w:szCs w:val="20"/>
      </w:rPr>
    </w:lvl>
    <w:lvl w:ilvl="2" w:tentative="0">
      <w:start w:val="1"/>
      <w:numFmt w:val="decimal"/>
      <w:pStyle w:val="5"/>
      <w:lvlText w:val="%1.%2.%3."/>
      <w:lvlJc w:val="left"/>
      <w:pPr>
        <w:ind w:left="9719" w:hanging="504"/>
      </w:pPr>
      <w:rPr>
        <w:rFonts w:hint="default"/>
        <w:color w:val="000000"/>
      </w:rPr>
    </w:lvl>
    <w:lvl w:ilvl="3" w:tentative="0">
      <w:start w:val="1"/>
      <w:numFmt w:val="decimal"/>
      <w:pStyle w:val="6"/>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29462828"/>
    <w:multiLevelType w:val="multilevel"/>
    <w:tmpl w:val="29462828"/>
    <w:lvl w:ilvl="0" w:tentative="0">
      <w:start w:val="2"/>
      <w:numFmt w:val="decimal"/>
      <w:pStyle w:val="15"/>
      <w:lvlText w:val="%1.1"/>
      <w:lvlJc w:val="left"/>
      <w:pPr>
        <w:ind w:left="1886" w:hanging="360"/>
      </w:pPr>
      <w:rPr>
        <w:rFonts w:hint="default"/>
      </w:rPr>
    </w:lvl>
    <w:lvl w:ilvl="1" w:tentative="0">
      <w:start w:val="1"/>
      <w:numFmt w:val="lowerLetter"/>
      <w:lvlText w:val="%2."/>
      <w:lvlJc w:val="left"/>
      <w:pPr>
        <w:ind w:left="2606" w:hanging="360"/>
      </w:pPr>
    </w:lvl>
    <w:lvl w:ilvl="2" w:tentative="0">
      <w:start w:val="1"/>
      <w:numFmt w:val="lowerRoman"/>
      <w:lvlText w:val="%3."/>
      <w:lvlJc w:val="right"/>
      <w:pPr>
        <w:ind w:left="3326" w:hanging="180"/>
      </w:pPr>
    </w:lvl>
    <w:lvl w:ilvl="3" w:tentative="0">
      <w:start w:val="1"/>
      <w:numFmt w:val="decimal"/>
      <w:lvlText w:val="%4."/>
      <w:lvlJc w:val="left"/>
      <w:pPr>
        <w:ind w:left="4046" w:hanging="360"/>
      </w:pPr>
    </w:lvl>
    <w:lvl w:ilvl="4" w:tentative="0">
      <w:start w:val="1"/>
      <w:numFmt w:val="lowerLetter"/>
      <w:lvlText w:val="%5."/>
      <w:lvlJc w:val="left"/>
      <w:pPr>
        <w:ind w:left="4766" w:hanging="360"/>
      </w:pPr>
    </w:lvl>
    <w:lvl w:ilvl="5" w:tentative="0">
      <w:start w:val="1"/>
      <w:numFmt w:val="lowerRoman"/>
      <w:lvlText w:val="%6."/>
      <w:lvlJc w:val="right"/>
      <w:pPr>
        <w:ind w:left="5486" w:hanging="180"/>
      </w:pPr>
    </w:lvl>
    <w:lvl w:ilvl="6" w:tentative="0">
      <w:start w:val="1"/>
      <w:numFmt w:val="decimal"/>
      <w:lvlText w:val="%7."/>
      <w:lvlJc w:val="left"/>
      <w:pPr>
        <w:ind w:left="6206" w:hanging="360"/>
      </w:pPr>
    </w:lvl>
    <w:lvl w:ilvl="7" w:tentative="0">
      <w:start w:val="1"/>
      <w:numFmt w:val="lowerLetter"/>
      <w:lvlText w:val="%8."/>
      <w:lvlJc w:val="left"/>
      <w:pPr>
        <w:ind w:left="6926" w:hanging="360"/>
      </w:pPr>
    </w:lvl>
    <w:lvl w:ilvl="8" w:tentative="0">
      <w:start w:val="1"/>
      <w:numFmt w:val="lowerRoman"/>
      <w:lvlText w:val="%9."/>
      <w:lvlJc w:val="right"/>
      <w:pPr>
        <w:ind w:left="7646" w:hanging="180"/>
      </w:pPr>
    </w:lvl>
  </w:abstractNum>
  <w:abstractNum w:abstractNumId="5">
    <w:nsid w:val="30696748"/>
    <w:multiLevelType w:val="multilevel"/>
    <w:tmpl w:val="3069674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321C2144"/>
    <w:multiLevelType w:val="multilevel"/>
    <w:tmpl w:val="321C2144"/>
    <w:lvl w:ilvl="0" w:tentative="0">
      <w:start w:val="1"/>
      <w:numFmt w:val="decimal"/>
      <w:lvlText w:val="%1."/>
      <w:lvlJc w:val="left"/>
      <w:pPr>
        <w:ind w:left="360" w:hanging="360"/>
      </w:pPr>
      <w:rPr>
        <w:rFonts w:hint="default"/>
      </w:rPr>
    </w:lvl>
    <w:lvl w:ilvl="1" w:tentative="0">
      <w:start w:val="1"/>
      <w:numFmt w:val="lowerLetter"/>
      <w:lvlText w:val="%2)"/>
      <w:lvlJc w:val="left"/>
      <w:pPr>
        <w:ind w:left="716" w:hanging="432"/>
      </w:pPr>
      <w:rPr>
        <w:rFonts w:hint="default"/>
        <w:b w:val="0"/>
      </w:rPr>
    </w:lvl>
    <w:lvl w:ilvl="2" w:tentative="0">
      <w:start w:val="1"/>
      <w:numFmt w:val="decimal"/>
      <w:lvlText w:val="%1.%2.%3."/>
      <w:lvlJc w:val="left"/>
      <w:pPr>
        <w:ind w:left="1224" w:hanging="504"/>
      </w:pPr>
      <w:rPr>
        <w:rFonts w:hint="default"/>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37864B01"/>
    <w:multiLevelType w:val="multilevel"/>
    <w:tmpl w:val="37864B01"/>
    <w:lvl w:ilvl="0" w:tentative="0">
      <w:start w:val="1"/>
      <w:numFmt w:val="decimal"/>
      <w:pStyle w:val="10"/>
      <w:lvlText w:val="%1."/>
      <w:lvlJc w:val="left"/>
      <w:pPr>
        <w:ind w:left="928" w:hanging="360"/>
      </w:pPr>
      <w:rPr>
        <w:rFonts w:hint="default"/>
        <w:b/>
        <w:u w:val="none"/>
      </w:rPr>
    </w:lvl>
    <w:lvl w:ilvl="1" w:tentative="0">
      <w:start w:val="1"/>
      <w:numFmt w:val="decimal"/>
      <w:lvlText w:val="%1.%2."/>
      <w:lvlJc w:val="left"/>
      <w:pPr>
        <w:ind w:left="1566" w:hanging="432"/>
      </w:pPr>
      <w:rPr>
        <w:b w:val="0"/>
      </w:rPr>
    </w:lvl>
    <w:lvl w:ilvl="2" w:tentative="0">
      <w:start w:val="1"/>
      <w:numFmt w:val="decimal"/>
      <w:lvlText w:val="%1.%2.%3."/>
      <w:lvlJc w:val="left"/>
      <w:pPr>
        <w:ind w:left="1780" w:hanging="504"/>
      </w:pPr>
      <w:rPr>
        <w:b w:val="0"/>
        <w:i w:val="0"/>
        <w:color w:val="auto"/>
      </w:rPr>
    </w:lvl>
    <w:lvl w:ilvl="3" w:tentative="0">
      <w:start w:val="1"/>
      <w:numFmt w:val="decimal"/>
      <w:lvlText w:val="%1.%2.%3.%4."/>
      <w:lvlJc w:val="left"/>
      <w:pPr>
        <w:ind w:left="1728" w:hanging="648"/>
      </w:pPr>
      <w:rPr>
        <w:lang w:val="pt-BR"/>
      </w:r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44E07854"/>
    <w:multiLevelType w:val="multilevel"/>
    <w:tmpl w:val="44E07854"/>
    <w:lvl w:ilvl="0" w:tentative="0">
      <w:start w:val="1"/>
      <w:numFmt w:val="decimal"/>
      <w:lvlText w:val="%1."/>
      <w:lvlJc w:val="left"/>
      <w:pPr>
        <w:ind w:left="465" w:hanging="465"/>
      </w:pPr>
      <w:rPr>
        <w:rFonts w:hint="default"/>
      </w:rPr>
    </w:lvl>
    <w:lvl w:ilvl="1" w:tentative="0">
      <w:start w:val="1"/>
      <w:numFmt w:val="decimal"/>
      <w:lvlText w:val="%1.%2."/>
      <w:lvlJc w:val="left"/>
      <w:pPr>
        <w:ind w:left="465" w:hanging="46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483E32DA"/>
    <w:multiLevelType w:val="multilevel"/>
    <w:tmpl w:val="483E32DA"/>
    <w:lvl w:ilvl="0" w:tentative="0">
      <w:start w:val="1"/>
      <w:numFmt w:val="decimal"/>
      <w:pStyle w:val="18"/>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4A1C5266"/>
    <w:multiLevelType w:val="multilevel"/>
    <w:tmpl w:val="4A1C5266"/>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5B7E3B5B"/>
    <w:multiLevelType w:val="multilevel"/>
    <w:tmpl w:val="5B7E3B5B"/>
    <w:lvl w:ilvl="0" w:tentative="0">
      <w:start w:val="1"/>
      <w:numFmt w:val="lowerLetter"/>
      <w:lvlText w:val="%1)"/>
      <w:lvlJc w:val="left"/>
      <w:pPr>
        <w:ind w:left="720" w:hanging="360"/>
      </w:pPr>
      <w:rPr>
        <w:rFonts w:hint="default" w:ascii="Arial" w:hAnsi="Arial"/>
        <w:b w:val="0"/>
        <w:i w:val="0"/>
        <w:sz w:val="23"/>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6AAE5CE8"/>
    <w:multiLevelType w:val="multilevel"/>
    <w:tmpl w:val="6AAE5CE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7"/>
  </w:num>
  <w:num w:numId="4">
    <w:abstractNumId w:val="4"/>
  </w:num>
  <w:num w:numId="5">
    <w:abstractNumId w:val="9"/>
  </w:num>
  <w:num w:numId="6">
    <w:abstractNumId w:val="8"/>
  </w:num>
  <w:num w:numId="7">
    <w:abstractNumId w:val="5"/>
  </w:num>
  <w:num w:numId="8">
    <w:abstractNumId w:val="11"/>
  </w:num>
  <w:num w:numId="9">
    <w:abstractNumId w:val="0"/>
  </w:num>
  <w:num w:numId="10">
    <w:abstractNumId w:val="10"/>
  </w:num>
  <w:num w:numId="11">
    <w:abstractNumId w:val="1"/>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08"/>
  <w:hyphenationZone w:val="425"/>
  <w:drawingGridHorizontalSpacing w:val="110"/>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6658BA"/>
    <w:rsid w:val="000054DB"/>
    <w:rsid w:val="00011E47"/>
    <w:rsid w:val="00022DFA"/>
    <w:rsid w:val="00026545"/>
    <w:rsid w:val="00031E8C"/>
    <w:rsid w:val="00032F3C"/>
    <w:rsid w:val="00034004"/>
    <w:rsid w:val="00041CA0"/>
    <w:rsid w:val="00042FC5"/>
    <w:rsid w:val="00047194"/>
    <w:rsid w:val="00047C2C"/>
    <w:rsid w:val="000527A7"/>
    <w:rsid w:val="0005498C"/>
    <w:rsid w:val="00060B54"/>
    <w:rsid w:val="000654F0"/>
    <w:rsid w:val="00077A41"/>
    <w:rsid w:val="00081B4B"/>
    <w:rsid w:val="0008425B"/>
    <w:rsid w:val="00084559"/>
    <w:rsid w:val="00092688"/>
    <w:rsid w:val="00095AEB"/>
    <w:rsid w:val="000A4657"/>
    <w:rsid w:val="000A7C9F"/>
    <w:rsid w:val="000B22C6"/>
    <w:rsid w:val="000D638A"/>
    <w:rsid w:val="000E3746"/>
    <w:rsid w:val="000E5E79"/>
    <w:rsid w:val="000F1F9A"/>
    <w:rsid w:val="00102047"/>
    <w:rsid w:val="00102859"/>
    <w:rsid w:val="00114EF1"/>
    <w:rsid w:val="00116833"/>
    <w:rsid w:val="001239CA"/>
    <w:rsid w:val="00125229"/>
    <w:rsid w:val="00127797"/>
    <w:rsid w:val="00131628"/>
    <w:rsid w:val="00132424"/>
    <w:rsid w:val="001402B3"/>
    <w:rsid w:val="00143200"/>
    <w:rsid w:val="0014708C"/>
    <w:rsid w:val="00165E03"/>
    <w:rsid w:val="00171B50"/>
    <w:rsid w:val="001753B5"/>
    <w:rsid w:val="00182225"/>
    <w:rsid w:val="00190471"/>
    <w:rsid w:val="00195E1B"/>
    <w:rsid w:val="001B0665"/>
    <w:rsid w:val="001B0736"/>
    <w:rsid w:val="001C53E1"/>
    <w:rsid w:val="001D741B"/>
    <w:rsid w:val="001E61E2"/>
    <w:rsid w:val="001F12FC"/>
    <w:rsid w:val="001F16E6"/>
    <w:rsid w:val="001F16F5"/>
    <w:rsid w:val="001F427C"/>
    <w:rsid w:val="002000D4"/>
    <w:rsid w:val="00200D8D"/>
    <w:rsid w:val="00203157"/>
    <w:rsid w:val="00205171"/>
    <w:rsid w:val="00206BD0"/>
    <w:rsid w:val="002073E7"/>
    <w:rsid w:val="00207439"/>
    <w:rsid w:val="00207A65"/>
    <w:rsid w:val="00215B4E"/>
    <w:rsid w:val="0021647C"/>
    <w:rsid w:val="00217718"/>
    <w:rsid w:val="002241CE"/>
    <w:rsid w:val="00224CF3"/>
    <w:rsid w:val="0022789F"/>
    <w:rsid w:val="0023375A"/>
    <w:rsid w:val="0024251F"/>
    <w:rsid w:val="00255E6F"/>
    <w:rsid w:val="002626CA"/>
    <w:rsid w:val="00263C4C"/>
    <w:rsid w:val="00272CBB"/>
    <w:rsid w:val="00276224"/>
    <w:rsid w:val="002806C3"/>
    <w:rsid w:val="0028128E"/>
    <w:rsid w:val="00282A0F"/>
    <w:rsid w:val="0028343A"/>
    <w:rsid w:val="002910C4"/>
    <w:rsid w:val="00292F20"/>
    <w:rsid w:val="00296571"/>
    <w:rsid w:val="002A0DD3"/>
    <w:rsid w:val="002B08CD"/>
    <w:rsid w:val="002B69B6"/>
    <w:rsid w:val="002B6DFD"/>
    <w:rsid w:val="002B7210"/>
    <w:rsid w:val="002B74A8"/>
    <w:rsid w:val="002C48F1"/>
    <w:rsid w:val="002C5044"/>
    <w:rsid w:val="002C506B"/>
    <w:rsid w:val="002D09EC"/>
    <w:rsid w:val="002D3CD8"/>
    <w:rsid w:val="002D3DB6"/>
    <w:rsid w:val="002D617D"/>
    <w:rsid w:val="002D66F9"/>
    <w:rsid w:val="002D67B4"/>
    <w:rsid w:val="002D7106"/>
    <w:rsid w:val="002E44A0"/>
    <w:rsid w:val="002E7DA1"/>
    <w:rsid w:val="002F292A"/>
    <w:rsid w:val="002F2DA6"/>
    <w:rsid w:val="002F4C59"/>
    <w:rsid w:val="002F69A2"/>
    <w:rsid w:val="00300784"/>
    <w:rsid w:val="00310891"/>
    <w:rsid w:val="00310D9B"/>
    <w:rsid w:val="00311405"/>
    <w:rsid w:val="003120C7"/>
    <w:rsid w:val="00315BBD"/>
    <w:rsid w:val="00323311"/>
    <w:rsid w:val="00330C58"/>
    <w:rsid w:val="00333AE3"/>
    <w:rsid w:val="00334242"/>
    <w:rsid w:val="00355DD9"/>
    <w:rsid w:val="00363EA9"/>
    <w:rsid w:val="00363EB6"/>
    <w:rsid w:val="003650EF"/>
    <w:rsid w:val="00366460"/>
    <w:rsid w:val="003702B5"/>
    <w:rsid w:val="003704C1"/>
    <w:rsid w:val="003728DA"/>
    <w:rsid w:val="00375C1B"/>
    <w:rsid w:val="00381638"/>
    <w:rsid w:val="0038235D"/>
    <w:rsid w:val="00385A5E"/>
    <w:rsid w:val="00397E14"/>
    <w:rsid w:val="003A1935"/>
    <w:rsid w:val="003A7C7E"/>
    <w:rsid w:val="003A7D61"/>
    <w:rsid w:val="003D0204"/>
    <w:rsid w:val="003D4B1A"/>
    <w:rsid w:val="003D4BD8"/>
    <w:rsid w:val="003D6D2E"/>
    <w:rsid w:val="003E157C"/>
    <w:rsid w:val="003E1BB3"/>
    <w:rsid w:val="003E76CD"/>
    <w:rsid w:val="003F1CCA"/>
    <w:rsid w:val="003F46E8"/>
    <w:rsid w:val="00400213"/>
    <w:rsid w:val="0040045B"/>
    <w:rsid w:val="00402044"/>
    <w:rsid w:val="00402364"/>
    <w:rsid w:val="004168FC"/>
    <w:rsid w:val="00423021"/>
    <w:rsid w:val="00423466"/>
    <w:rsid w:val="00423FF8"/>
    <w:rsid w:val="0043084B"/>
    <w:rsid w:val="004446FE"/>
    <w:rsid w:val="00445544"/>
    <w:rsid w:val="00446831"/>
    <w:rsid w:val="00455805"/>
    <w:rsid w:val="00456833"/>
    <w:rsid w:val="004600EA"/>
    <w:rsid w:val="00464F06"/>
    <w:rsid w:val="0046791C"/>
    <w:rsid w:val="00472849"/>
    <w:rsid w:val="00472D86"/>
    <w:rsid w:val="00477050"/>
    <w:rsid w:val="004804EA"/>
    <w:rsid w:val="004827DD"/>
    <w:rsid w:val="004852F6"/>
    <w:rsid w:val="00486E1C"/>
    <w:rsid w:val="0049040A"/>
    <w:rsid w:val="004908A0"/>
    <w:rsid w:val="004B5C61"/>
    <w:rsid w:val="004C13BE"/>
    <w:rsid w:val="004C4E25"/>
    <w:rsid w:val="004C73B5"/>
    <w:rsid w:val="004D2048"/>
    <w:rsid w:val="004D331C"/>
    <w:rsid w:val="004D6B44"/>
    <w:rsid w:val="004D7D36"/>
    <w:rsid w:val="004E020D"/>
    <w:rsid w:val="004E56F8"/>
    <w:rsid w:val="004E612B"/>
    <w:rsid w:val="004F20B4"/>
    <w:rsid w:val="004F27DE"/>
    <w:rsid w:val="004F2F11"/>
    <w:rsid w:val="0050243A"/>
    <w:rsid w:val="00504582"/>
    <w:rsid w:val="005071A6"/>
    <w:rsid w:val="00513152"/>
    <w:rsid w:val="005158F7"/>
    <w:rsid w:val="0052143B"/>
    <w:rsid w:val="005253BB"/>
    <w:rsid w:val="00525AA1"/>
    <w:rsid w:val="0052726A"/>
    <w:rsid w:val="005311AC"/>
    <w:rsid w:val="00534726"/>
    <w:rsid w:val="0054003A"/>
    <w:rsid w:val="0054171C"/>
    <w:rsid w:val="00545301"/>
    <w:rsid w:val="00557970"/>
    <w:rsid w:val="00565A74"/>
    <w:rsid w:val="00565C45"/>
    <w:rsid w:val="00566789"/>
    <w:rsid w:val="00567807"/>
    <w:rsid w:val="00567E61"/>
    <w:rsid w:val="00575EE2"/>
    <w:rsid w:val="005803B0"/>
    <w:rsid w:val="00585547"/>
    <w:rsid w:val="00596FF4"/>
    <w:rsid w:val="005A23AC"/>
    <w:rsid w:val="005A4E90"/>
    <w:rsid w:val="005A661D"/>
    <w:rsid w:val="005B4596"/>
    <w:rsid w:val="005B4D48"/>
    <w:rsid w:val="005C03F1"/>
    <w:rsid w:val="005C10E0"/>
    <w:rsid w:val="005C1D09"/>
    <w:rsid w:val="005C24BB"/>
    <w:rsid w:val="005C30D1"/>
    <w:rsid w:val="005C33FA"/>
    <w:rsid w:val="005D2273"/>
    <w:rsid w:val="005E3002"/>
    <w:rsid w:val="005F0A98"/>
    <w:rsid w:val="0060377C"/>
    <w:rsid w:val="00610B72"/>
    <w:rsid w:val="0062197B"/>
    <w:rsid w:val="00625D64"/>
    <w:rsid w:val="00630883"/>
    <w:rsid w:val="00634A5E"/>
    <w:rsid w:val="0063543D"/>
    <w:rsid w:val="00636A54"/>
    <w:rsid w:val="006415D8"/>
    <w:rsid w:val="00645B77"/>
    <w:rsid w:val="00651BA6"/>
    <w:rsid w:val="0066119B"/>
    <w:rsid w:val="00662568"/>
    <w:rsid w:val="00662652"/>
    <w:rsid w:val="00662A20"/>
    <w:rsid w:val="00662E29"/>
    <w:rsid w:val="00664666"/>
    <w:rsid w:val="006658BA"/>
    <w:rsid w:val="0067527C"/>
    <w:rsid w:val="00677F77"/>
    <w:rsid w:val="006868EE"/>
    <w:rsid w:val="00694EE0"/>
    <w:rsid w:val="0069698B"/>
    <w:rsid w:val="006A2E9F"/>
    <w:rsid w:val="006B2BF4"/>
    <w:rsid w:val="006B5448"/>
    <w:rsid w:val="006C3B4C"/>
    <w:rsid w:val="006C5CC5"/>
    <w:rsid w:val="006D1645"/>
    <w:rsid w:val="006D1DB1"/>
    <w:rsid w:val="006E01E0"/>
    <w:rsid w:val="006E1AD0"/>
    <w:rsid w:val="006E3DDB"/>
    <w:rsid w:val="006E6C32"/>
    <w:rsid w:val="006F2C32"/>
    <w:rsid w:val="006F2F42"/>
    <w:rsid w:val="006F523E"/>
    <w:rsid w:val="00700C64"/>
    <w:rsid w:val="007022E4"/>
    <w:rsid w:val="0070764F"/>
    <w:rsid w:val="00712718"/>
    <w:rsid w:val="00713E16"/>
    <w:rsid w:val="0072152C"/>
    <w:rsid w:val="00722101"/>
    <w:rsid w:val="00722DDC"/>
    <w:rsid w:val="00723CCC"/>
    <w:rsid w:val="00734829"/>
    <w:rsid w:val="007377CB"/>
    <w:rsid w:val="00741F4B"/>
    <w:rsid w:val="00756212"/>
    <w:rsid w:val="00760747"/>
    <w:rsid w:val="0076225D"/>
    <w:rsid w:val="007733CC"/>
    <w:rsid w:val="00780A3E"/>
    <w:rsid w:val="00795DA7"/>
    <w:rsid w:val="00797986"/>
    <w:rsid w:val="00797DDE"/>
    <w:rsid w:val="007A3B77"/>
    <w:rsid w:val="007A402D"/>
    <w:rsid w:val="007A4C27"/>
    <w:rsid w:val="007A6E8B"/>
    <w:rsid w:val="007B32BA"/>
    <w:rsid w:val="007B35FE"/>
    <w:rsid w:val="007D3EC9"/>
    <w:rsid w:val="007D5C6A"/>
    <w:rsid w:val="007D6396"/>
    <w:rsid w:val="007D6DB1"/>
    <w:rsid w:val="007E6C67"/>
    <w:rsid w:val="007F0F46"/>
    <w:rsid w:val="007F19FA"/>
    <w:rsid w:val="007F4914"/>
    <w:rsid w:val="007F508C"/>
    <w:rsid w:val="0080014C"/>
    <w:rsid w:val="00800250"/>
    <w:rsid w:val="00804C53"/>
    <w:rsid w:val="0082439A"/>
    <w:rsid w:val="00824B18"/>
    <w:rsid w:val="00824C03"/>
    <w:rsid w:val="008258C2"/>
    <w:rsid w:val="00827055"/>
    <w:rsid w:val="00827A33"/>
    <w:rsid w:val="0083322A"/>
    <w:rsid w:val="00835F6F"/>
    <w:rsid w:val="0083761D"/>
    <w:rsid w:val="00843644"/>
    <w:rsid w:val="00844607"/>
    <w:rsid w:val="00846546"/>
    <w:rsid w:val="00850B60"/>
    <w:rsid w:val="00851A12"/>
    <w:rsid w:val="00851B9B"/>
    <w:rsid w:val="008535FF"/>
    <w:rsid w:val="00853BC2"/>
    <w:rsid w:val="00862059"/>
    <w:rsid w:val="00862A3C"/>
    <w:rsid w:val="00863F85"/>
    <w:rsid w:val="00866937"/>
    <w:rsid w:val="008721E6"/>
    <w:rsid w:val="008774C5"/>
    <w:rsid w:val="00886152"/>
    <w:rsid w:val="0088705C"/>
    <w:rsid w:val="008951A4"/>
    <w:rsid w:val="00895403"/>
    <w:rsid w:val="008A0F1D"/>
    <w:rsid w:val="008A3351"/>
    <w:rsid w:val="008A4A1E"/>
    <w:rsid w:val="008B2CF9"/>
    <w:rsid w:val="008C46C0"/>
    <w:rsid w:val="008D0D7E"/>
    <w:rsid w:val="008D28A6"/>
    <w:rsid w:val="008F0AC8"/>
    <w:rsid w:val="008F61D1"/>
    <w:rsid w:val="00904043"/>
    <w:rsid w:val="0091507E"/>
    <w:rsid w:val="00917133"/>
    <w:rsid w:val="00921A42"/>
    <w:rsid w:val="00921E50"/>
    <w:rsid w:val="00926150"/>
    <w:rsid w:val="00926DEC"/>
    <w:rsid w:val="00933046"/>
    <w:rsid w:val="0094752A"/>
    <w:rsid w:val="00955FF5"/>
    <w:rsid w:val="00957804"/>
    <w:rsid w:val="0096601C"/>
    <w:rsid w:val="0096767E"/>
    <w:rsid w:val="00967C21"/>
    <w:rsid w:val="00973385"/>
    <w:rsid w:val="00974145"/>
    <w:rsid w:val="00987DED"/>
    <w:rsid w:val="0099094C"/>
    <w:rsid w:val="009C30E3"/>
    <w:rsid w:val="009D0FAE"/>
    <w:rsid w:val="009D53D5"/>
    <w:rsid w:val="009D7085"/>
    <w:rsid w:val="009E1424"/>
    <w:rsid w:val="009E7BF8"/>
    <w:rsid w:val="009F05A4"/>
    <w:rsid w:val="009F1B99"/>
    <w:rsid w:val="009F3279"/>
    <w:rsid w:val="00A02493"/>
    <w:rsid w:val="00A02606"/>
    <w:rsid w:val="00A21851"/>
    <w:rsid w:val="00A266BD"/>
    <w:rsid w:val="00A330E1"/>
    <w:rsid w:val="00A429B2"/>
    <w:rsid w:val="00A4744C"/>
    <w:rsid w:val="00A532CD"/>
    <w:rsid w:val="00A5555E"/>
    <w:rsid w:val="00A61652"/>
    <w:rsid w:val="00A61D65"/>
    <w:rsid w:val="00A63B0D"/>
    <w:rsid w:val="00A70A8F"/>
    <w:rsid w:val="00A70FCB"/>
    <w:rsid w:val="00A76261"/>
    <w:rsid w:val="00A776D1"/>
    <w:rsid w:val="00A80FA9"/>
    <w:rsid w:val="00A82304"/>
    <w:rsid w:val="00A83ECD"/>
    <w:rsid w:val="00A87570"/>
    <w:rsid w:val="00A91EF4"/>
    <w:rsid w:val="00A963CC"/>
    <w:rsid w:val="00AA1AE7"/>
    <w:rsid w:val="00AA4EF0"/>
    <w:rsid w:val="00AA7884"/>
    <w:rsid w:val="00AA7B8A"/>
    <w:rsid w:val="00AC307A"/>
    <w:rsid w:val="00AC37B4"/>
    <w:rsid w:val="00AC6DB6"/>
    <w:rsid w:val="00AD19AC"/>
    <w:rsid w:val="00AD5FF1"/>
    <w:rsid w:val="00AD637C"/>
    <w:rsid w:val="00AD6887"/>
    <w:rsid w:val="00AD70EE"/>
    <w:rsid w:val="00AD73C0"/>
    <w:rsid w:val="00AE1C1F"/>
    <w:rsid w:val="00AE3861"/>
    <w:rsid w:val="00AE3BE9"/>
    <w:rsid w:val="00AE3C72"/>
    <w:rsid w:val="00AF03F2"/>
    <w:rsid w:val="00AF1084"/>
    <w:rsid w:val="00AF4278"/>
    <w:rsid w:val="00AF786E"/>
    <w:rsid w:val="00B01CB5"/>
    <w:rsid w:val="00B02673"/>
    <w:rsid w:val="00B0432C"/>
    <w:rsid w:val="00B04F35"/>
    <w:rsid w:val="00B104E4"/>
    <w:rsid w:val="00B1109D"/>
    <w:rsid w:val="00B12238"/>
    <w:rsid w:val="00B2150B"/>
    <w:rsid w:val="00B21FEB"/>
    <w:rsid w:val="00B22333"/>
    <w:rsid w:val="00B248A5"/>
    <w:rsid w:val="00B26C50"/>
    <w:rsid w:val="00B27E3A"/>
    <w:rsid w:val="00B324E5"/>
    <w:rsid w:val="00B32BF1"/>
    <w:rsid w:val="00B41AC8"/>
    <w:rsid w:val="00B42B66"/>
    <w:rsid w:val="00B51405"/>
    <w:rsid w:val="00B6098D"/>
    <w:rsid w:val="00B6106A"/>
    <w:rsid w:val="00B73C4C"/>
    <w:rsid w:val="00B815FD"/>
    <w:rsid w:val="00B822FC"/>
    <w:rsid w:val="00B8456D"/>
    <w:rsid w:val="00B845BC"/>
    <w:rsid w:val="00B955A5"/>
    <w:rsid w:val="00BA363D"/>
    <w:rsid w:val="00BA7554"/>
    <w:rsid w:val="00BB5BB9"/>
    <w:rsid w:val="00BB69CD"/>
    <w:rsid w:val="00BB7071"/>
    <w:rsid w:val="00BC227A"/>
    <w:rsid w:val="00BC5349"/>
    <w:rsid w:val="00BC5690"/>
    <w:rsid w:val="00BD3950"/>
    <w:rsid w:val="00BE2196"/>
    <w:rsid w:val="00BE57A9"/>
    <w:rsid w:val="00BE7F8F"/>
    <w:rsid w:val="00BF09CD"/>
    <w:rsid w:val="00BF3434"/>
    <w:rsid w:val="00C02BD1"/>
    <w:rsid w:val="00C039B4"/>
    <w:rsid w:val="00C06577"/>
    <w:rsid w:val="00C165F5"/>
    <w:rsid w:val="00C20576"/>
    <w:rsid w:val="00C21498"/>
    <w:rsid w:val="00C22DF1"/>
    <w:rsid w:val="00C2317D"/>
    <w:rsid w:val="00C232F5"/>
    <w:rsid w:val="00C32926"/>
    <w:rsid w:val="00C32E98"/>
    <w:rsid w:val="00C3646D"/>
    <w:rsid w:val="00C45C5A"/>
    <w:rsid w:val="00C46134"/>
    <w:rsid w:val="00C63499"/>
    <w:rsid w:val="00C6562C"/>
    <w:rsid w:val="00C70DC1"/>
    <w:rsid w:val="00C84D4E"/>
    <w:rsid w:val="00C87473"/>
    <w:rsid w:val="00C918A2"/>
    <w:rsid w:val="00C95B51"/>
    <w:rsid w:val="00CA2CAB"/>
    <w:rsid w:val="00CA3C3D"/>
    <w:rsid w:val="00CA5040"/>
    <w:rsid w:val="00CB0FE4"/>
    <w:rsid w:val="00CB16CC"/>
    <w:rsid w:val="00CB595D"/>
    <w:rsid w:val="00CB6702"/>
    <w:rsid w:val="00CD01FF"/>
    <w:rsid w:val="00CD417E"/>
    <w:rsid w:val="00CD62A2"/>
    <w:rsid w:val="00CE77B3"/>
    <w:rsid w:val="00CF1311"/>
    <w:rsid w:val="00CF237D"/>
    <w:rsid w:val="00CF2382"/>
    <w:rsid w:val="00D102A7"/>
    <w:rsid w:val="00D1534E"/>
    <w:rsid w:val="00D15BAA"/>
    <w:rsid w:val="00D21A76"/>
    <w:rsid w:val="00D22DA1"/>
    <w:rsid w:val="00D23D73"/>
    <w:rsid w:val="00D25AA1"/>
    <w:rsid w:val="00D32B2D"/>
    <w:rsid w:val="00D3305A"/>
    <w:rsid w:val="00D33F99"/>
    <w:rsid w:val="00D37063"/>
    <w:rsid w:val="00D460F9"/>
    <w:rsid w:val="00D53377"/>
    <w:rsid w:val="00D547A9"/>
    <w:rsid w:val="00D608A0"/>
    <w:rsid w:val="00D63242"/>
    <w:rsid w:val="00D65497"/>
    <w:rsid w:val="00D70FB4"/>
    <w:rsid w:val="00D74200"/>
    <w:rsid w:val="00D8245F"/>
    <w:rsid w:val="00D8604D"/>
    <w:rsid w:val="00D8679B"/>
    <w:rsid w:val="00D86B8F"/>
    <w:rsid w:val="00D87585"/>
    <w:rsid w:val="00D92285"/>
    <w:rsid w:val="00D959F3"/>
    <w:rsid w:val="00D97958"/>
    <w:rsid w:val="00DC03D3"/>
    <w:rsid w:val="00DC0486"/>
    <w:rsid w:val="00DC55F5"/>
    <w:rsid w:val="00DC5A8C"/>
    <w:rsid w:val="00DC6665"/>
    <w:rsid w:val="00DE214E"/>
    <w:rsid w:val="00DE3C54"/>
    <w:rsid w:val="00E040F9"/>
    <w:rsid w:val="00E10F21"/>
    <w:rsid w:val="00E11370"/>
    <w:rsid w:val="00E115BF"/>
    <w:rsid w:val="00E2184D"/>
    <w:rsid w:val="00E219AA"/>
    <w:rsid w:val="00E27159"/>
    <w:rsid w:val="00E335A3"/>
    <w:rsid w:val="00E37908"/>
    <w:rsid w:val="00E509C6"/>
    <w:rsid w:val="00E50D6A"/>
    <w:rsid w:val="00E51B4E"/>
    <w:rsid w:val="00E55F7E"/>
    <w:rsid w:val="00E6354E"/>
    <w:rsid w:val="00E635E3"/>
    <w:rsid w:val="00E67E8A"/>
    <w:rsid w:val="00E83054"/>
    <w:rsid w:val="00E86682"/>
    <w:rsid w:val="00E92064"/>
    <w:rsid w:val="00E93E47"/>
    <w:rsid w:val="00E9724D"/>
    <w:rsid w:val="00EA2DB7"/>
    <w:rsid w:val="00EA3D6C"/>
    <w:rsid w:val="00EA5D94"/>
    <w:rsid w:val="00EB3CF1"/>
    <w:rsid w:val="00EC1354"/>
    <w:rsid w:val="00EC39A4"/>
    <w:rsid w:val="00EC4BE7"/>
    <w:rsid w:val="00ED03D7"/>
    <w:rsid w:val="00ED23C3"/>
    <w:rsid w:val="00ED5D8C"/>
    <w:rsid w:val="00EE5119"/>
    <w:rsid w:val="00EF086A"/>
    <w:rsid w:val="00EF274D"/>
    <w:rsid w:val="00EF6514"/>
    <w:rsid w:val="00F0638E"/>
    <w:rsid w:val="00F1039E"/>
    <w:rsid w:val="00F12065"/>
    <w:rsid w:val="00F259F5"/>
    <w:rsid w:val="00F272BE"/>
    <w:rsid w:val="00F27472"/>
    <w:rsid w:val="00F371F7"/>
    <w:rsid w:val="00F37ACE"/>
    <w:rsid w:val="00F419FC"/>
    <w:rsid w:val="00F43056"/>
    <w:rsid w:val="00F46DF1"/>
    <w:rsid w:val="00F5578B"/>
    <w:rsid w:val="00F55CBD"/>
    <w:rsid w:val="00F5770E"/>
    <w:rsid w:val="00F60057"/>
    <w:rsid w:val="00F677A3"/>
    <w:rsid w:val="00F80E0D"/>
    <w:rsid w:val="00F81015"/>
    <w:rsid w:val="00F8327D"/>
    <w:rsid w:val="00F841EE"/>
    <w:rsid w:val="00F921DA"/>
    <w:rsid w:val="00F94B6D"/>
    <w:rsid w:val="00FA17AC"/>
    <w:rsid w:val="00FB5192"/>
    <w:rsid w:val="00FC048C"/>
    <w:rsid w:val="00FC28C4"/>
    <w:rsid w:val="00FC6114"/>
    <w:rsid w:val="00FD3396"/>
    <w:rsid w:val="00FD512B"/>
    <w:rsid w:val="00FD716B"/>
    <w:rsid w:val="00FE28AF"/>
    <w:rsid w:val="00FE4640"/>
    <w:rsid w:val="00FF18D7"/>
    <w:rsid w:val="00FF594D"/>
    <w:rsid w:val="01600BFE"/>
    <w:rsid w:val="01AE10E8"/>
    <w:rsid w:val="02852A6F"/>
    <w:rsid w:val="037E6AD2"/>
    <w:rsid w:val="04081017"/>
    <w:rsid w:val="044A2578"/>
    <w:rsid w:val="047F4544"/>
    <w:rsid w:val="05D26DA8"/>
    <w:rsid w:val="0644009C"/>
    <w:rsid w:val="068C68F1"/>
    <w:rsid w:val="08371E4A"/>
    <w:rsid w:val="0868502F"/>
    <w:rsid w:val="08CB76EA"/>
    <w:rsid w:val="0A885A13"/>
    <w:rsid w:val="0B9B4555"/>
    <w:rsid w:val="0BA72CEE"/>
    <w:rsid w:val="0C0F236A"/>
    <w:rsid w:val="0C6F5388"/>
    <w:rsid w:val="0CC52071"/>
    <w:rsid w:val="0CC9144C"/>
    <w:rsid w:val="0CD301B8"/>
    <w:rsid w:val="0CD549E3"/>
    <w:rsid w:val="0DF645FB"/>
    <w:rsid w:val="0F5E3CD1"/>
    <w:rsid w:val="103664DF"/>
    <w:rsid w:val="105F35C9"/>
    <w:rsid w:val="12751F54"/>
    <w:rsid w:val="138F2EDE"/>
    <w:rsid w:val="14B234A7"/>
    <w:rsid w:val="14E611B3"/>
    <w:rsid w:val="153A0C48"/>
    <w:rsid w:val="15931968"/>
    <w:rsid w:val="173C23D9"/>
    <w:rsid w:val="17CF7536"/>
    <w:rsid w:val="1857091C"/>
    <w:rsid w:val="19464DE6"/>
    <w:rsid w:val="195B330B"/>
    <w:rsid w:val="19B21213"/>
    <w:rsid w:val="1AF622AE"/>
    <w:rsid w:val="1C4C7D29"/>
    <w:rsid w:val="1C9C7B4C"/>
    <w:rsid w:val="1E4B75F3"/>
    <w:rsid w:val="1E4D204C"/>
    <w:rsid w:val="1EEC0047"/>
    <w:rsid w:val="1F774214"/>
    <w:rsid w:val="1FD357F3"/>
    <w:rsid w:val="21660BD5"/>
    <w:rsid w:val="21EA3813"/>
    <w:rsid w:val="21FB1FB5"/>
    <w:rsid w:val="2226601E"/>
    <w:rsid w:val="229C2686"/>
    <w:rsid w:val="25093104"/>
    <w:rsid w:val="25F4725A"/>
    <w:rsid w:val="25FA2126"/>
    <w:rsid w:val="26826C25"/>
    <w:rsid w:val="27143665"/>
    <w:rsid w:val="29AD1196"/>
    <w:rsid w:val="29C23832"/>
    <w:rsid w:val="2C0A2310"/>
    <w:rsid w:val="2D37777F"/>
    <w:rsid w:val="2ED15C30"/>
    <w:rsid w:val="30534874"/>
    <w:rsid w:val="31143A0E"/>
    <w:rsid w:val="31915BE7"/>
    <w:rsid w:val="31FD4887"/>
    <w:rsid w:val="322F56F8"/>
    <w:rsid w:val="33A60283"/>
    <w:rsid w:val="34C810EB"/>
    <w:rsid w:val="34D919E0"/>
    <w:rsid w:val="364A01C9"/>
    <w:rsid w:val="38A631F8"/>
    <w:rsid w:val="394279E7"/>
    <w:rsid w:val="39893C7D"/>
    <w:rsid w:val="39D328CA"/>
    <w:rsid w:val="3A700230"/>
    <w:rsid w:val="3AAA211C"/>
    <w:rsid w:val="3BB547E0"/>
    <w:rsid w:val="3D16232F"/>
    <w:rsid w:val="3E5816F4"/>
    <w:rsid w:val="3E95211C"/>
    <w:rsid w:val="3F967A49"/>
    <w:rsid w:val="406211F9"/>
    <w:rsid w:val="407C36CA"/>
    <w:rsid w:val="410F76BC"/>
    <w:rsid w:val="42AC2D25"/>
    <w:rsid w:val="43646B7B"/>
    <w:rsid w:val="441B5DE9"/>
    <w:rsid w:val="444B5F81"/>
    <w:rsid w:val="44595BD3"/>
    <w:rsid w:val="44747140"/>
    <w:rsid w:val="44A83D7E"/>
    <w:rsid w:val="454F2E61"/>
    <w:rsid w:val="45DD0B0B"/>
    <w:rsid w:val="48D43D9E"/>
    <w:rsid w:val="4A1C52B3"/>
    <w:rsid w:val="4A415C91"/>
    <w:rsid w:val="4D873E5B"/>
    <w:rsid w:val="4F1D0500"/>
    <w:rsid w:val="4F9D7BE5"/>
    <w:rsid w:val="4FD756B1"/>
    <w:rsid w:val="52BF4938"/>
    <w:rsid w:val="52D73980"/>
    <w:rsid w:val="566B0A04"/>
    <w:rsid w:val="56F82D58"/>
    <w:rsid w:val="57677906"/>
    <w:rsid w:val="582D4174"/>
    <w:rsid w:val="58CD6A39"/>
    <w:rsid w:val="5A2E6867"/>
    <w:rsid w:val="5A5F3146"/>
    <w:rsid w:val="5A8D1D3E"/>
    <w:rsid w:val="5E222BA6"/>
    <w:rsid w:val="5E87143F"/>
    <w:rsid w:val="5EE40AE4"/>
    <w:rsid w:val="5EF21665"/>
    <w:rsid w:val="5F014F4E"/>
    <w:rsid w:val="5FC776FC"/>
    <w:rsid w:val="617043E4"/>
    <w:rsid w:val="6328698B"/>
    <w:rsid w:val="63D527BE"/>
    <w:rsid w:val="645C34CE"/>
    <w:rsid w:val="64C03E7D"/>
    <w:rsid w:val="65A238B6"/>
    <w:rsid w:val="686B7B1D"/>
    <w:rsid w:val="68C72DF5"/>
    <w:rsid w:val="6AAA4798"/>
    <w:rsid w:val="6B016459"/>
    <w:rsid w:val="6C0C1982"/>
    <w:rsid w:val="6C1449A1"/>
    <w:rsid w:val="6C3207B1"/>
    <w:rsid w:val="6E8E7C7C"/>
    <w:rsid w:val="6F612B92"/>
    <w:rsid w:val="701F27E0"/>
    <w:rsid w:val="70D861E9"/>
    <w:rsid w:val="712D09BB"/>
    <w:rsid w:val="720B212A"/>
    <w:rsid w:val="72D2537A"/>
    <w:rsid w:val="72EC5EBF"/>
    <w:rsid w:val="72F31C74"/>
    <w:rsid w:val="756A7A83"/>
    <w:rsid w:val="75E33CAF"/>
    <w:rsid w:val="77731994"/>
    <w:rsid w:val="778D1A0F"/>
    <w:rsid w:val="77AF0B07"/>
    <w:rsid w:val="77BD6A65"/>
    <w:rsid w:val="78101A83"/>
    <w:rsid w:val="79283B3C"/>
    <w:rsid w:val="798B6637"/>
    <w:rsid w:val="79B0201A"/>
    <w:rsid w:val="7A0131E9"/>
    <w:rsid w:val="7BC36550"/>
    <w:rsid w:val="7CE75D6E"/>
    <w:rsid w:val="7D52609E"/>
    <w:rsid w:val="7EF83E86"/>
    <w:rsid w:val="7FAD3552"/>
    <w:rsid w:val="7FED71B6"/>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paragraph" w:styleId="2">
    <w:name w:val="heading 1"/>
    <w:basedOn w:val="3"/>
    <w:next w:val="1"/>
    <w:link w:val="30"/>
    <w:qFormat/>
    <w:uiPriority w:val="0"/>
    <w:pPr>
      <w:numPr>
        <w:ilvl w:val="0"/>
        <w:numId w:val="1"/>
      </w:numPr>
      <w:spacing w:after="0" w:line="240" w:lineRule="auto"/>
      <w:jc w:val="both"/>
      <w:outlineLvl w:val="0"/>
    </w:pPr>
    <w:rPr>
      <w:rFonts w:ascii="Arial" w:hAnsi="Arial" w:eastAsia="Calibri" w:cs="Times New Roman"/>
      <w:b/>
      <w:sz w:val="20"/>
      <w:szCs w:val="24"/>
    </w:rPr>
  </w:style>
  <w:style w:type="paragraph" w:styleId="4">
    <w:name w:val="heading 2"/>
    <w:basedOn w:val="2"/>
    <w:next w:val="1"/>
    <w:link w:val="31"/>
    <w:unhideWhenUsed/>
    <w:qFormat/>
    <w:uiPriority w:val="0"/>
    <w:pPr>
      <w:numPr>
        <w:ilvl w:val="1"/>
      </w:numPr>
      <w:outlineLvl w:val="1"/>
    </w:pPr>
    <w:rPr>
      <w:b w:val="0"/>
    </w:rPr>
  </w:style>
  <w:style w:type="paragraph" w:styleId="5">
    <w:name w:val="heading 3"/>
    <w:basedOn w:val="4"/>
    <w:next w:val="1"/>
    <w:link w:val="32"/>
    <w:unhideWhenUsed/>
    <w:qFormat/>
    <w:uiPriority w:val="0"/>
    <w:pPr>
      <w:numPr>
        <w:ilvl w:val="2"/>
      </w:numPr>
      <w:outlineLvl w:val="2"/>
    </w:pPr>
  </w:style>
  <w:style w:type="paragraph" w:styleId="6">
    <w:name w:val="heading 4"/>
    <w:basedOn w:val="5"/>
    <w:next w:val="1"/>
    <w:link w:val="33"/>
    <w:unhideWhenUsed/>
    <w:qFormat/>
    <w:uiPriority w:val="0"/>
    <w:pPr>
      <w:numPr>
        <w:ilvl w:val="3"/>
      </w:numPr>
      <w:ind w:left="1021" w:hanging="1021"/>
      <w:outlineLvl w:val="3"/>
    </w:pPr>
  </w:style>
  <w:style w:type="character" w:default="1" w:styleId="20">
    <w:name w:val="Default Paragraph Font"/>
    <w:semiHidden/>
    <w:unhideWhenUsed/>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List Paragraph"/>
    <w:basedOn w:val="1"/>
    <w:qFormat/>
    <w:uiPriority w:val="34"/>
    <w:pPr>
      <w:ind w:left="720"/>
      <w:contextualSpacing/>
    </w:pPr>
  </w:style>
  <w:style w:type="paragraph" w:styleId="7">
    <w:name w:val="toc 2"/>
    <w:basedOn w:val="1"/>
    <w:next w:val="1"/>
    <w:unhideWhenUsed/>
    <w:qFormat/>
    <w:uiPriority w:val="39"/>
    <w:pPr>
      <w:numPr>
        <w:ilvl w:val="0"/>
        <w:numId w:val="2"/>
      </w:numPr>
      <w:spacing w:after="100"/>
    </w:pPr>
  </w:style>
  <w:style w:type="paragraph" w:styleId="8">
    <w:name w:val="Body Text"/>
    <w:basedOn w:val="1"/>
    <w:link w:val="44"/>
    <w:unhideWhenUsed/>
    <w:qFormat/>
    <w:uiPriority w:val="99"/>
    <w:pPr>
      <w:spacing w:after="120"/>
    </w:pPr>
  </w:style>
  <w:style w:type="paragraph" w:styleId="9">
    <w:name w:val="annotation text"/>
    <w:basedOn w:val="1"/>
    <w:link w:val="35"/>
    <w:semiHidden/>
    <w:unhideWhenUsed/>
    <w:qFormat/>
    <w:uiPriority w:val="99"/>
    <w:pPr>
      <w:spacing w:line="240" w:lineRule="auto"/>
    </w:pPr>
    <w:rPr>
      <w:sz w:val="20"/>
      <w:szCs w:val="20"/>
    </w:rPr>
  </w:style>
  <w:style w:type="paragraph" w:styleId="10">
    <w:name w:val="Title"/>
    <w:basedOn w:val="1"/>
    <w:next w:val="1"/>
    <w:link w:val="41"/>
    <w:qFormat/>
    <w:uiPriority w:val="0"/>
    <w:pPr>
      <w:keepNext/>
      <w:numPr>
        <w:ilvl w:val="0"/>
        <w:numId w:val="3"/>
      </w:numPr>
      <w:suppressAutoHyphens/>
      <w:spacing w:after="0"/>
      <w:ind w:left="0"/>
      <w:outlineLvl w:val="0"/>
    </w:pPr>
    <w:rPr>
      <w:rFonts w:ascii="Times New Roman" w:hAnsi="Times New Roman" w:eastAsia="Times New Roman" w:cs="Times New Roman"/>
      <w:caps/>
      <w:sz w:val="20"/>
      <w:szCs w:val="20"/>
      <w:lang w:eastAsia="ar-SA"/>
    </w:rPr>
  </w:style>
  <w:style w:type="paragraph" w:styleId="11">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2">
    <w:name w:val="header"/>
    <w:basedOn w:val="1"/>
    <w:link w:val="27"/>
    <w:unhideWhenUsed/>
    <w:qFormat/>
    <w:uiPriority w:val="99"/>
    <w:pPr>
      <w:tabs>
        <w:tab w:val="center" w:pos="4252"/>
        <w:tab w:val="right" w:pos="8504"/>
      </w:tabs>
      <w:spacing w:after="0" w:line="240" w:lineRule="auto"/>
      <w:jc w:val="both"/>
    </w:pPr>
    <w:rPr>
      <w:rFonts w:ascii="Arial" w:hAnsi="Arial" w:eastAsia="Calibri" w:cs="Times New Roman"/>
      <w:sz w:val="24"/>
      <w:szCs w:val="24"/>
    </w:rPr>
  </w:style>
  <w:style w:type="paragraph" w:styleId="13">
    <w:name w:val="annotation subject"/>
    <w:basedOn w:val="9"/>
    <w:next w:val="9"/>
    <w:link w:val="36"/>
    <w:semiHidden/>
    <w:unhideWhenUsed/>
    <w:qFormat/>
    <w:uiPriority w:val="99"/>
    <w:rPr>
      <w:b/>
      <w:bCs/>
    </w:rPr>
  </w:style>
  <w:style w:type="paragraph" w:styleId="14">
    <w:name w:val="footer"/>
    <w:basedOn w:val="1"/>
    <w:link w:val="28"/>
    <w:unhideWhenUsed/>
    <w:qFormat/>
    <w:uiPriority w:val="99"/>
    <w:pPr>
      <w:tabs>
        <w:tab w:val="center" w:pos="4252"/>
        <w:tab w:val="right" w:pos="8504"/>
      </w:tabs>
      <w:spacing w:after="0" w:line="240" w:lineRule="auto"/>
    </w:pPr>
  </w:style>
  <w:style w:type="paragraph" w:styleId="15">
    <w:name w:val="toc 3"/>
    <w:basedOn w:val="1"/>
    <w:next w:val="1"/>
    <w:unhideWhenUsed/>
    <w:qFormat/>
    <w:uiPriority w:val="39"/>
    <w:pPr>
      <w:numPr>
        <w:ilvl w:val="0"/>
        <w:numId w:val="4"/>
      </w:numPr>
      <w:tabs>
        <w:tab w:val="left" w:pos="1276"/>
      </w:tabs>
      <w:spacing w:after="100"/>
      <w:ind w:hanging="1460"/>
    </w:pPr>
    <w:rPr>
      <w:rFonts w:eastAsiaTheme="minorEastAsia"/>
    </w:rPr>
  </w:style>
  <w:style w:type="paragraph" w:styleId="16">
    <w:name w:val="Balloon Text"/>
    <w:basedOn w:val="1"/>
    <w:link w:val="26"/>
    <w:semiHidden/>
    <w:unhideWhenUsed/>
    <w:qFormat/>
    <w:uiPriority w:val="99"/>
    <w:pPr>
      <w:spacing w:after="0" w:line="240" w:lineRule="auto"/>
    </w:pPr>
    <w:rPr>
      <w:rFonts w:ascii="Tahoma" w:hAnsi="Tahoma" w:cs="Tahoma"/>
      <w:sz w:val="16"/>
      <w:szCs w:val="16"/>
    </w:rPr>
  </w:style>
  <w:style w:type="paragraph" w:styleId="17">
    <w:name w:val="Subtitle"/>
    <w:basedOn w:val="1"/>
    <w:next w:val="1"/>
    <w:link w:val="42"/>
    <w:qFormat/>
    <w:uiPriority w:val="11"/>
    <w:rPr>
      <w:rFonts w:asciiTheme="majorHAnsi" w:hAnsiTheme="majorHAnsi" w:eastAsiaTheme="majorEastAsia" w:cstheme="majorBidi"/>
      <w:i/>
      <w:iCs/>
      <w:color w:val="4F81BD" w:themeColor="accent1"/>
      <w:spacing w:val="15"/>
      <w:sz w:val="24"/>
      <w:szCs w:val="24"/>
    </w:rPr>
  </w:style>
  <w:style w:type="paragraph" w:styleId="18">
    <w:name w:val="toc 1"/>
    <w:basedOn w:val="1"/>
    <w:next w:val="1"/>
    <w:unhideWhenUsed/>
    <w:qFormat/>
    <w:uiPriority w:val="39"/>
    <w:pPr>
      <w:numPr>
        <w:ilvl w:val="0"/>
        <w:numId w:val="5"/>
      </w:numPr>
      <w:spacing w:after="100"/>
    </w:pPr>
    <w:rPr>
      <w:rFonts w:eastAsiaTheme="minorEastAsia"/>
    </w:rPr>
  </w:style>
  <w:style w:type="paragraph" w:styleId="19">
    <w:name w:val="Body Text Indent"/>
    <w:basedOn w:val="1"/>
    <w:link w:val="40"/>
    <w:semiHidden/>
    <w:qFormat/>
    <w:uiPriority w:val="0"/>
    <w:pPr>
      <w:suppressAutoHyphens/>
      <w:spacing w:after="0" w:line="240" w:lineRule="auto"/>
      <w:ind w:firstLine="2127"/>
      <w:jc w:val="both"/>
    </w:pPr>
    <w:rPr>
      <w:rFonts w:ascii="Times New Roman" w:hAnsi="Times New Roman" w:eastAsia="Times New Roman" w:cs="Times New Roman"/>
      <w:sz w:val="28"/>
      <w:szCs w:val="20"/>
    </w:rPr>
  </w:style>
  <w:style w:type="character" w:styleId="21">
    <w:name w:val="Strong"/>
    <w:basedOn w:val="20"/>
    <w:qFormat/>
    <w:uiPriority w:val="22"/>
    <w:rPr>
      <w:b/>
      <w:bCs/>
    </w:rPr>
  </w:style>
  <w:style w:type="character" w:styleId="22">
    <w:name w:val="annotation reference"/>
    <w:basedOn w:val="20"/>
    <w:semiHidden/>
    <w:unhideWhenUsed/>
    <w:qFormat/>
    <w:uiPriority w:val="99"/>
    <w:rPr>
      <w:sz w:val="16"/>
      <w:szCs w:val="16"/>
    </w:rPr>
  </w:style>
  <w:style w:type="character" w:styleId="23">
    <w:name w:val="Hyperlink"/>
    <w:basedOn w:val="20"/>
    <w:unhideWhenUsed/>
    <w:qFormat/>
    <w:uiPriority w:val="99"/>
    <w:rPr>
      <w:color w:val="0000FF" w:themeColor="hyperlink"/>
      <w:u w:val="single"/>
    </w:rPr>
  </w:style>
  <w:style w:type="table" w:styleId="25">
    <w:name w:val="Table Grid"/>
    <w:basedOn w:val="2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26">
    <w:name w:val="Texto de balão Char"/>
    <w:basedOn w:val="20"/>
    <w:link w:val="16"/>
    <w:semiHidden/>
    <w:qFormat/>
    <w:uiPriority w:val="99"/>
    <w:rPr>
      <w:rFonts w:ascii="Tahoma" w:hAnsi="Tahoma" w:cs="Tahoma"/>
      <w:sz w:val="16"/>
      <w:szCs w:val="16"/>
    </w:rPr>
  </w:style>
  <w:style w:type="character" w:customStyle="1" w:styleId="27">
    <w:name w:val="Cabeçalho Char"/>
    <w:basedOn w:val="20"/>
    <w:link w:val="12"/>
    <w:qFormat/>
    <w:uiPriority w:val="99"/>
    <w:rPr>
      <w:rFonts w:ascii="Arial" w:hAnsi="Arial" w:eastAsia="Calibri" w:cs="Times New Roman"/>
      <w:sz w:val="24"/>
      <w:szCs w:val="24"/>
    </w:rPr>
  </w:style>
  <w:style w:type="character" w:customStyle="1" w:styleId="28">
    <w:name w:val="Rodapé Char"/>
    <w:basedOn w:val="20"/>
    <w:link w:val="14"/>
    <w:qFormat/>
    <w:uiPriority w:val="99"/>
  </w:style>
  <w:style w:type="paragraph" w:customStyle="1" w:styleId="29">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pt-BR" w:eastAsia="en-US" w:bidi="ar-SA"/>
    </w:rPr>
  </w:style>
  <w:style w:type="character" w:customStyle="1" w:styleId="30">
    <w:name w:val="Título 1 Char"/>
    <w:basedOn w:val="20"/>
    <w:link w:val="2"/>
    <w:qFormat/>
    <w:uiPriority w:val="0"/>
    <w:rPr>
      <w:rFonts w:ascii="Arial" w:hAnsi="Arial" w:eastAsia="Calibri" w:cs="Times New Roman"/>
      <w:b/>
      <w:sz w:val="20"/>
      <w:szCs w:val="24"/>
    </w:rPr>
  </w:style>
  <w:style w:type="character" w:customStyle="1" w:styleId="31">
    <w:name w:val="Título 2 Char"/>
    <w:basedOn w:val="20"/>
    <w:link w:val="4"/>
    <w:qFormat/>
    <w:uiPriority w:val="0"/>
    <w:rPr>
      <w:rFonts w:ascii="Arial" w:hAnsi="Arial" w:eastAsia="Calibri" w:cs="Times New Roman"/>
      <w:sz w:val="20"/>
      <w:szCs w:val="24"/>
    </w:rPr>
  </w:style>
  <w:style w:type="character" w:customStyle="1" w:styleId="32">
    <w:name w:val="Título 3 Char"/>
    <w:basedOn w:val="20"/>
    <w:link w:val="5"/>
    <w:qFormat/>
    <w:uiPriority w:val="0"/>
    <w:rPr>
      <w:rFonts w:ascii="Arial" w:hAnsi="Arial" w:eastAsia="Calibri" w:cs="Times New Roman"/>
      <w:sz w:val="20"/>
      <w:szCs w:val="24"/>
    </w:rPr>
  </w:style>
  <w:style w:type="character" w:customStyle="1" w:styleId="33">
    <w:name w:val="Título 4 Char"/>
    <w:basedOn w:val="20"/>
    <w:link w:val="6"/>
    <w:qFormat/>
    <w:uiPriority w:val="0"/>
    <w:rPr>
      <w:rFonts w:ascii="Arial" w:hAnsi="Arial" w:eastAsia="Calibri" w:cs="Times New Roman"/>
      <w:sz w:val="20"/>
      <w:szCs w:val="24"/>
    </w:rPr>
  </w:style>
  <w:style w:type="character" w:customStyle="1" w:styleId="34">
    <w:name w:val="hgkelc"/>
    <w:basedOn w:val="20"/>
    <w:qFormat/>
    <w:uiPriority w:val="0"/>
  </w:style>
  <w:style w:type="character" w:customStyle="1" w:styleId="35">
    <w:name w:val="Texto de comentário Char"/>
    <w:basedOn w:val="20"/>
    <w:link w:val="9"/>
    <w:semiHidden/>
    <w:qFormat/>
    <w:uiPriority w:val="99"/>
    <w:rPr>
      <w:sz w:val="20"/>
      <w:szCs w:val="20"/>
    </w:rPr>
  </w:style>
  <w:style w:type="character" w:customStyle="1" w:styleId="36">
    <w:name w:val="Assunto do comentário Char"/>
    <w:basedOn w:val="35"/>
    <w:link w:val="13"/>
    <w:semiHidden/>
    <w:qFormat/>
    <w:uiPriority w:val="99"/>
    <w:rPr>
      <w:b/>
      <w:bCs/>
      <w:sz w:val="20"/>
      <w:szCs w:val="20"/>
    </w:rPr>
  </w:style>
  <w:style w:type="paragraph" w:styleId="37">
    <w:name w:val="No Spacing"/>
    <w:link w:val="38"/>
    <w:qFormat/>
    <w:uiPriority w:val="1"/>
    <w:pPr>
      <w:spacing w:after="0" w:line="240" w:lineRule="auto"/>
    </w:pPr>
    <w:rPr>
      <w:rFonts w:asciiTheme="minorHAnsi" w:hAnsiTheme="minorHAnsi" w:eastAsiaTheme="minorEastAsia" w:cstheme="minorBidi"/>
      <w:sz w:val="22"/>
      <w:szCs w:val="22"/>
      <w:lang w:val="pt-BR" w:eastAsia="en-US" w:bidi="ar-SA"/>
    </w:rPr>
  </w:style>
  <w:style w:type="character" w:customStyle="1" w:styleId="38">
    <w:name w:val="Sem Espaçamento Char"/>
    <w:basedOn w:val="20"/>
    <w:link w:val="37"/>
    <w:qFormat/>
    <w:uiPriority w:val="1"/>
    <w:rPr>
      <w:rFonts w:eastAsiaTheme="minorEastAsia"/>
    </w:rPr>
  </w:style>
  <w:style w:type="character" w:customStyle="1" w:styleId="39">
    <w:name w:val="Ênfase Sutil1"/>
    <w:basedOn w:val="20"/>
    <w:qFormat/>
    <w:uiPriority w:val="19"/>
    <w:rPr>
      <w:i/>
      <w:iCs/>
      <w:color w:val="7F7F7F" w:themeColor="text1" w:themeTint="7F"/>
    </w:rPr>
  </w:style>
  <w:style w:type="character" w:customStyle="1" w:styleId="40">
    <w:name w:val="Recuo de corpo de texto Char"/>
    <w:basedOn w:val="20"/>
    <w:link w:val="19"/>
    <w:semiHidden/>
    <w:qFormat/>
    <w:uiPriority w:val="0"/>
    <w:rPr>
      <w:rFonts w:ascii="Times New Roman" w:hAnsi="Times New Roman" w:eastAsia="Times New Roman" w:cs="Times New Roman"/>
      <w:sz w:val="28"/>
      <w:szCs w:val="20"/>
    </w:rPr>
  </w:style>
  <w:style w:type="character" w:customStyle="1" w:styleId="41">
    <w:name w:val="Título Char"/>
    <w:basedOn w:val="20"/>
    <w:link w:val="10"/>
    <w:qFormat/>
    <w:uiPriority w:val="0"/>
    <w:rPr>
      <w:rFonts w:ascii="Times New Roman" w:hAnsi="Times New Roman" w:eastAsia="Times New Roman" w:cs="Times New Roman"/>
      <w:caps/>
      <w:sz w:val="20"/>
      <w:szCs w:val="20"/>
      <w:lang w:eastAsia="ar-SA"/>
    </w:rPr>
  </w:style>
  <w:style w:type="character" w:customStyle="1" w:styleId="42">
    <w:name w:val="Subtítulo Char"/>
    <w:basedOn w:val="20"/>
    <w:link w:val="17"/>
    <w:qFormat/>
    <w:uiPriority w:val="11"/>
    <w:rPr>
      <w:rFonts w:asciiTheme="majorHAnsi" w:hAnsiTheme="majorHAnsi" w:eastAsiaTheme="majorEastAsia" w:cstheme="majorBidi"/>
      <w:i/>
      <w:iCs/>
      <w:color w:val="4F81BD" w:themeColor="accent1"/>
      <w:spacing w:val="15"/>
      <w:sz w:val="24"/>
      <w:szCs w:val="24"/>
    </w:rPr>
  </w:style>
  <w:style w:type="paragraph" w:customStyle="1" w:styleId="43">
    <w:name w:val="Cabeçalho do Sumário1"/>
    <w:basedOn w:val="2"/>
    <w:next w:val="1"/>
    <w:semiHidden/>
    <w:unhideWhenUsed/>
    <w:qFormat/>
    <w:uiPriority w:val="39"/>
    <w:pPr>
      <w:keepNext/>
      <w:keepLines/>
      <w:numPr>
        <w:ilvl w:val="0"/>
        <w:numId w:val="0"/>
      </w:numPr>
      <w:spacing w:before="480" w:line="276" w:lineRule="auto"/>
      <w:contextualSpacing w:val="0"/>
      <w:jc w:val="left"/>
      <w:outlineLvl w:val="9"/>
    </w:pPr>
    <w:rPr>
      <w:rFonts w:asciiTheme="majorHAnsi" w:hAnsiTheme="majorHAnsi" w:eastAsiaTheme="majorEastAsia" w:cstheme="majorBidi"/>
      <w:bCs/>
      <w:color w:val="366091" w:themeColor="accent1" w:themeShade="BF"/>
      <w:sz w:val="28"/>
      <w:szCs w:val="28"/>
    </w:rPr>
  </w:style>
  <w:style w:type="character" w:customStyle="1" w:styleId="44">
    <w:name w:val="Corpo de texto Char"/>
    <w:basedOn w:val="20"/>
    <w:link w:val="8"/>
    <w:qFormat/>
    <w:uiPriority w:val="99"/>
  </w:style>
  <w:style w:type="paragraph" w:customStyle="1" w:styleId="45">
    <w:name w:val="TOC Heading"/>
    <w:basedOn w:val="2"/>
    <w:next w:val="1"/>
    <w:unhideWhenUsed/>
    <w:qFormat/>
    <w:uiPriority w:val="39"/>
    <w:pPr>
      <w:keepNext/>
      <w:keepLines/>
      <w:numPr>
        <w:ilvl w:val="0"/>
        <w:numId w:val="0"/>
      </w:numPr>
      <w:spacing w:before="240" w:line="259" w:lineRule="auto"/>
      <w:contextualSpacing w:val="0"/>
      <w:jc w:val="left"/>
      <w:outlineLvl w:val="9"/>
    </w:pPr>
    <w:rPr>
      <w:rFonts w:asciiTheme="majorHAnsi" w:hAnsiTheme="majorHAnsi" w:eastAsiaTheme="majorEastAsia" w:cstheme="majorBidi"/>
      <w:b w:val="0"/>
      <w:color w:val="366091" w:themeColor="accent1" w:themeShade="BF"/>
      <w:sz w:val="32"/>
      <w:szCs w:val="32"/>
      <w:lang w:eastAsia="pt-B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overPageProperties xmlns="http://schemas.microsoft.com/office/2006/coverPageProps">
  <PublishDate>2021-08-01T00:00:00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EAA524-5245-443E-A979-483C9385B603}">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Pages>28</Pages>
  <Words>8546</Words>
  <Characters>46154</Characters>
  <Lines>384</Lines>
  <Paragraphs>109</Paragraphs>
  <TotalTime>0</TotalTime>
  <ScaleCrop>false</ScaleCrop>
  <LinksUpToDate>false</LinksUpToDate>
  <CharactersWithSpaces>54591</CharactersWithSpaces>
  <Application>WPS Office_11.2.0.8942_F1E327BC-269C-435d-A152-05C5408002CA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2021-11-21T10:29:00Z</dcterms:created>
  <dc:creator>Soraia Almeida Santos</dc:creator>
  <cp:lastModifiedBy>jamille.brito</cp:lastModifiedBy>
  <cp:lastPrinted>2020-08-25T19:33:00Z</cp:lastPrinted>
  <dcterms:modified xsi:type="dcterms:W3CDTF">2021-11-25T14:17:37Z</dcterms:modified>
  <dc:title>ESTUDO TÉCNICO PRELIMINAR – ETP</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