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customXml/itemProps2.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jc w:val="center"/>
        <w:rPr>
          <w:b/>
          <w:szCs w:val="20"/>
          <w:highlight w:val="none"/>
        </w:rPr>
      </w:pPr>
    </w:p>
    <w:p>
      <w:pPr>
        <w:jc w:val="center"/>
        <w:rPr>
          <w:b/>
          <w:szCs w:val="20"/>
          <w:highlight w:val="none"/>
        </w:rPr>
      </w:pPr>
      <w:r>
        <w:rPr>
          <w:b/>
          <w:szCs w:val="20"/>
          <w:highlight w:val="none"/>
        </w:rPr>
        <w:t>TERMO DE REFERÊNCIA</w:t>
      </w:r>
    </w:p>
    <w:p>
      <w:pPr>
        <w:jc w:val="center"/>
        <w:rPr>
          <w:szCs w:val="20"/>
          <w:highlight w:val="none"/>
        </w:rPr>
      </w:pPr>
      <w:r>
        <w:rPr>
          <w:szCs w:val="20"/>
          <w:highlight w:val="none"/>
        </w:rPr>
        <w:t>LEI DAS ESTATAIS – FORMA ELETRÔNICA</w:t>
      </w:r>
    </w:p>
    <w:p>
      <w:pPr>
        <w:jc w:val="center"/>
        <w:rPr>
          <w:szCs w:val="20"/>
          <w:highlight w:val="none"/>
        </w:rPr>
      </w:pPr>
      <w:r>
        <w:rPr>
          <w:szCs w:val="20"/>
          <w:highlight w:val="none"/>
        </w:rPr>
        <w:t>EMPREITADA POR PREÇO UNITÁRIO</w:t>
      </w:r>
    </w:p>
    <w:p>
      <w:pPr>
        <w:jc w:val="center"/>
        <w:rPr>
          <w:szCs w:val="20"/>
          <w:highlight w:val="none"/>
        </w:rPr>
      </w:pPr>
      <w:r>
        <w:rPr>
          <w:szCs w:val="20"/>
          <w:highlight w:val="none"/>
        </w:rPr>
        <w:t>VALOR ESTIMADO PÚBLICO</w:t>
      </w:r>
    </w:p>
    <w:p>
      <w:pPr>
        <w:jc w:val="center"/>
        <w:rPr>
          <w:szCs w:val="20"/>
          <w:highlight w:val="none"/>
        </w:rPr>
      </w:pPr>
      <w:r>
        <w:rPr>
          <w:szCs w:val="20"/>
          <w:highlight w:val="none"/>
        </w:rPr>
        <w:t>MAIOR DESCONTO</w:t>
      </w: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rFonts w:hint="default"/>
          <w:b/>
          <w:bCs/>
          <w:szCs w:val="20"/>
          <w:highlight w:val="none"/>
          <w:lang w:val="pt-BR"/>
        </w:rPr>
      </w:pPr>
      <w:r>
        <w:rPr>
          <w:b/>
          <w:bCs/>
          <w:szCs w:val="20"/>
          <w:highlight w:val="none"/>
        </w:rPr>
        <w:t>EXECUÇÃO DOS SERVIÇOS E OBRAS PARA IMPLANTAÇÃO</w:t>
      </w:r>
      <w:r>
        <w:rPr>
          <w:rFonts w:hint="default"/>
          <w:b/>
          <w:bCs/>
          <w:szCs w:val="20"/>
          <w:highlight w:val="none"/>
          <w:lang w:val="pt-BR"/>
        </w:rPr>
        <w:t xml:space="preserve"> </w:t>
      </w:r>
      <w:r>
        <w:rPr>
          <w:rFonts w:hint="default"/>
          <w:b/>
          <w:bCs/>
          <w:szCs w:val="20"/>
          <w:highlight w:val="none"/>
          <w:lang w:val="en-US" w:eastAsia="zh-CN"/>
        </w:rPr>
        <w:t>DO SISTEMA DE ABASTECIMENTO DE ÁGUA (SAA) ATENDENDO À COMUNIDADE RURAL DE BARRINHA, NO MUNICÍPIO DE BOM JESUS DA LAPA, NO ESTADO DA BAHIA</w:t>
      </w:r>
      <w:r>
        <w:rPr>
          <w:rFonts w:hint="default"/>
          <w:b/>
          <w:bCs/>
          <w:szCs w:val="20"/>
          <w:highlight w:val="none"/>
          <w:lang w:val="pt-BR" w:eastAsia="zh-CN"/>
        </w:rPr>
        <w:t>.</w:t>
      </w:r>
    </w:p>
    <w:p>
      <w:pPr>
        <w:rPr>
          <w:b/>
          <w:bCs/>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ind w:left="-1276" w:right="-710"/>
        <w:jc w:val="center"/>
        <w:rPr>
          <w:szCs w:val="20"/>
          <w:highlight w:val="none"/>
        </w:rPr>
      </w:pPr>
      <w:r>
        <w:rPr>
          <w:rFonts w:hint="default"/>
          <w:b/>
          <w:szCs w:val="20"/>
          <w:highlight w:val="none"/>
          <w:lang w:val="pt-BR"/>
        </w:rPr>
        <w:t>Novembro</w:t>
      </w:r>
      <w:r>
        <w:rPr>
          <w:b/>
          <w:szCs w:val="20"/>
          <w:highlight w:val="none"/>
        </w:rPr>
        <w:t>/2021</w:t>
      </w:r>
      <w:r>
        <w:rPr>
          <w:szCs w:val="20"/>
          <w:highlight w:val="none"/>
        </w:rPr>
        <w:br w:type="page"/>
      </w:r>
    </w:p>
    <w:p>
      <w:pPr>
        <w:jc w:val="center"/>
        <w:rPr>
          <w:b/>
          <w:szCs w:val="20"/>
          <w:highlight w:val="none"/>
        </w:rPr>
      </w:pPr>
      <w:r>
        <w:rPr>
          <w:b/>
          <w:szCs w:val="20"/>
          <w:highlight w:val="none"/>
        </w:rPr>
        <w:t>ÍNDICE</w:t>
      </w:r>
    </w:p>
    <w:p>
      <w:pPr>
        <w:rPr>
          <w:szCs w:val="20"/>
          <w:highlight w:val="none"/>
        </w:rPr>
      </w:pPr>
    </w:p>
    <w:p>
      <w:pPr>
        <w:pStyle w:val="24"/>
        <w:tabs>
          <w:tab w:val="right" w:leader="dot" w:pos="9586"/>
          <w:tab w:val="clear" w:pos="660"/>
          <w:tab w:val="clear" w:pos="9061"/>
        </w:tabs>
        <w:rPr>
          <w:highlight w:val="none"/>
        </w:rPr>
      </w:pPr>
      <w:r>
        <w:rPr>
          <w:highlight w:val="none"/>
        </w:rPr>
        <w:fldChar w:fldCharType="begin"/>
      </w:r>
      <w:r>
        <w:rPr>
          <w:highlight w:val="none"/>
        </w:rPr>
        <w:instrText xml:space="preserve"> TOC \o "1-1" \h \z \u </w:instrText>
      </w:r>
      <w:r>
        <w:rPr>
          <w:highlight w:val="none"/>
        </w:rPr>
        <w:fldChar w:fldCharType="separate"/>
      </w:r>
      <w:r>
        <w:rPr>
          <w:highlight w:val="none"/>
        </w:rPr>
        <w:fldChar w:fldCharType="begin"/>
      </w:r>
      <w:r>
        <w:rPr>
          <w:highlight w:val="none"/>
        </w:rPr>
        <w:instrText xml:space="preserve"> HYPERLINK \l "_Toc25161" </w:instrText>
      </w:r>
      <w:r>
        <w:rPr>
          <w:highlight w:val="none"/>
        </w:rPr>
        <w:fldChar w:fldCharType="separate"/>
      </w:r>
      <w:r>
        <w:rPr>
          <w:highlight w:val="none"/>
        </w:rPr>
        <w:t>1. OBJETO DA CONTRATAÇÃO</w:t>
      </w:r>
      <w:r>
        <w:rPr>
          <w:highlight w:val="none"/>
        </w:rPr>
        <w:tab/>
      </w:r>
      <w:r>
        <w:rPr>
          <w:highlight w:val="none"/>
        </w:rPr>
        <w:fldChar w:fldCharType="begin"/>
      </w:r>
      <w:r>
        <w:rPr>
          <w:highlight w:val="none"/>
        </w:rPr>
        <w:instrText xml:space="preserve"> PAGEREF _Toc25161 </w:instrText>
      </w:r>
      <w:r>
        <w:rPr>
          <w:highlight w:val="none"/>
        </w:rPr>
        <w:fldChar w:fldCharType="separate"/>
      </w:r>
      <w:r>
        <w:rPr>
          <w:highlight w:val="none"/>
        </w:rPr>
        <w:t>3</w:t>
      </w:r>
      <w:r>
        <w:rPr>
          <w:highlight w:val="none"/>
        </w:rPr>
        <w:fldChar w:fldCharType="end"/>
      </w:r>
      <w:r>
        <w:rPr>
          <w:highlight w:val="none"/>
        </w:rPr>
        <w:fldChar w:fldCharType="end"/>
      </w:r>
    </w:p>
    <w:p>
      <w:pPr>
        <w:pStyle w:val="24"/>
        <w:tabs>
          <w:tab w:val="right" w:leader="dot" w:pos="9586"/>
          <w:tab w:val="clear" w:pos="660"/>
          <w:tab w:val="clear" w:pos="9061"/>
        </w:tabs>
        <w:rPr>
          <w:highlight w:val="none"/>
        </w:rPr>
      </w:pPr>
      <w:r>
        <w:rPr>
          <w:highlight w:val="none"/>
        </w:rPr>
        <w:fldChar w:fldCharType="begin"/>
      </w:r>
      <w:r>
        <w:rPr>
          <w:highlight w:val="none"/>
        </w:rPr>
        <w:instrText xml:space="preserve"> HYPERLINK \l "_Toc14321" </w:instrText>
      </w:r>
      <w:r>
        <w:rPr>
          <w:highlight w:val="none"/>
        </w:rPr>
        <w:fldChar w:fldCharType="separate"/>
      </w:r>
      <w:r>
        <w:rPr>
          <w:highlight w:val="none"/>
        </w:rPr>
        <w:t>2. TERMINOLOGIAS E DEFINIÇÕES</w:t>
      </w:r>
      <w:r>
        <w:rPr>
          <w:highlight w:val="none"/>
        </w:rPr>
        <w:tab/>
      </w:r>
      <w:r>
        <w:rPr>
          <w:highlight w:val="none"/>
        </w:rPr>
        <w:fldChar w:fldCharType="begin"/>
      </w:r>
      <w:r>
        <w:rPr>
          <w:highlight w:val="none"/>
        </w:rPr>
        <w:instrText xml:space="preserve"> PAGEREF _Toc14321 </w:instrText>
      </w:r>
      <w:r>
        <w:rPr>
          <w:highlight w:val="none"/>
        </w:rPr>
        <w:fldChar w:fldCharType="separate"/>
      </w:r>
      <w:r>
        <w:rPr>
          <w:highlight w:val="none"/>
        </w:rPr>
        <w:t>3</w:t>
      </w:r>
      <w:r>
        <w:rPr>
          <w:highlight w:val="none"/>
        </w:rPr>
        <w:fldChar w:fldCharType="end"/>
      </w:r>
      <w:r>
        <w:rPr>
          <w:highlight w:val="none"/>
        </w:rPr>
        <w:fldChar w:fldCharType="end"/>
      </w:r>
    </w:p>
    <w:p>
      <w:pPr>
        <w:pStyle w:val="24"/>
        <w:tabs>
          <w:tab w:val="right" w:leader="dot" w:pos="9586"/>
          <w:tab w:val="clear" w:pos="660"/>
          <w:tab w:val="clear" w:pos="9061"/>
        </w:tabs>
        <w:rPr>
          <w:highlight w:val="none"/>
        </w:rPr>
      </w:pPr>
      <w:r>
        <w:rPr>
          <w:highlight w:val="none"/>
        </w:rPr>
        <w:fldChar w:fldCharType="begin"/>
      </w:r>
      <w:r>
        <w:rPr>
          <w:highlight w:val="none"/>
        </w:rPr>
        <w:instrText xml:space="preserve"> HYPERLINK \l "_Toc18733" </w:instrText>
      </w:r>
      <w:r>
        <w:rPr>
          <w:highlight w:val="none"/>
        </w:rPr>
        <w:fldChar w:fldCharType="separate"/>
      </w:r>
      <w:r>
        <w:rPr>
          <w:highlight w:val="none"/>
        </w:rPr>
        <w:t>3. FORMA DE REALIZAÇÃO, MODO DE DISPUTA, REGIME DE EXECUÇÃO, VALOR ESTIMADO E CRITÉRIO DE JULGAMENTO.</w:t>
      </w:r>
      <w:r>
        <w:rPr>
          <w:highlight w:val="none"/>
        </w:rPr>
        <w:tab/>
      </w:r>
      <w:r>
        <w:rPr>
          <w:highlight w:val="none"/>
        </w:rPr>
        <w:fldChar w:fldCharType="begin"/>
      </w:r>
      <w:r>
        <w:rPr>
          <w:highlight w:val="none"/>
        </w:rPr>
        <w:instrText xml:space="preserve"> PAGEREF _Toc18733 </w:instrText>
      </w:r>
      <w:r>
        <w:rPr>
          <w:highlight w:val="none"/>
        </w:rPr>
        <w:fldChar w:fldCharType="separate"/>
      </w:r>
      <w:r>
        <w:rPr>
          <w:highlight w:val="none"/>
        </w:rPr>
        <w:t>6</w:t>
      </w:r>
      <w:r>
        <w:rPr>
          <w:highlight w:val="none"/>
        </w:rPr>
        <w:fldChar w:fldCharType="end"/>
      </w:r>
      <w:r>
        <w:rPr>
          <w:highlight w:val="none"/>
        </w:rPr>
        <w:fldChar w:fldCharType="end"/>
      </w:r>
    </w:p>
    <w:p>
      <w:pPr>
        <w:pStyle w:val="24"/>
        <w:tabs>
          <w:tab w:val="right" w:leader="dot" w:pos="9586"/>
          <w:tab w:val="clear" w:pos="660"/>
          <w:tab w:val="clear" w:pos="9061"/>
        </w:tabs>
        <w:rPr>
          <w:highlight w:val="none"/>
        </w:rPr>
      </w:pPr>
      <w:r>
        <w:rPr>
          <w:highlight w:val="none"/>
        </w:rPr>
        <w:fldChar w:fldCharType="begin"/>
      </w:r>
      <w:r>
        <w:rPr>
          <w:highlight w:val="none"/>
        </w:rPr>
        <w:instrText xml:space="preserve"> HYPERLINK \l "_Toc3981" </w:instrText>
      </w:r>
      <w:r>
        <w:rPr>
          <w:highlight w:val="none"/>
        </w:rPr>
        <w:fldChar w:fldCharType="separate"/>
      </w:r>
      <w:r>
        <w:rPr>
          <w:highlight w:val="none"/>
        </w:rPr>
        <w:t>4. LOCALIZAÇÃO DO OBJETO</w:t>
      </w:r>
      <w:r>
        <w:rPr>
          <w:highlight w:val="none"/>
        </w:rPr>
        <w:tab/>
      </w:r>
      <w:r>
        <w:rPr>
          <w:highlight w:val="none"/>
        </w:rPr>
        <w:fldChar w:fldCharType="begin"/>
      </w:r>
      <w:r>
        <w:rPr>
          <w:highlight w:val="none"/>
        </w:rPr>
        <w:instrText xml:space="preserve"> PAGEREF _Toc3981 </w:instrText>
      </w:r>
      <w:r>
        <w:rPr>
          <w:highlight w:val="none"/>
        </w:rPr>
        <w:fldChar w:fldCharType="separate"/>
      </w:r>
      <w:r>
        <w:rPr>
          <w:highlight w:val="none"/>
        </w:rPr>
        <w:t>6</w:t>
      </w:r>
      <w:r>
        <w:rPr>
          <w:highlight w:val="none"/>
        </w:rPr>
        <w:fldChar w:fldCharType="end"/>
      </w:r>
      <w:r>
        <w:rPr>
          <w:highlight w:val="none"/>
        </w:rPr>
        <w:fldChar w:fldCharType="end"/>
      </w:r>
    </w:p>
    <w:p>
      <w:pPr>
        <w:pStyle w:val="24"/>
        <w:tabs>
          <w:tab w:val="right" w:leader="dot" w:pos="9586"/>
          <w:tab w:val="clear" w:pos="660"/>
          <w:tab w:val="clear" w:pos="9061"/>
        </w:tabs>
        <w:rPr>
          <w:highlight w:val="none"/>
        </w:rPr>
      </w:pPr>
      <w:r>
        <w:rPr>
          <w:highlight w:val="none"/>
        </w:rPr>
        <w:fldChar w:fldCharType="begin"/>
      </w:r>
      <w:r>
        <w:rPr>
          <w:highlight w:val="none"/>
        </w:rPr>
        <w:instrText xml:space="preserve"> HYPERLINK \l "_Toc31781" </w:instrText>
      </w:r>
      <w:r>
        <w:rPr>
          <w:highlight w:val="none"/>
        </w:rPr>
        <w:fldChar w:fldCharType="separate"/>
      </w:r>
      <w:r>
        <w:rPr>
          <w:highlight w:val="none"/>
        </w:rPr>
        <w:t>5. DESCRIÇÃO DOS SERVIÇOS</w:t>
      </w:r>
      <w:r>
        <w:rPr>
          <w:highlight w:val="none"/>
        </w:rPr>
        <w:tab/>
      </w:r>
      <w:r>
        <w:rPr>
          <w:highlight w:val="none"/>
        </w:rPr>
        <w:fldChar w:fldCharType="begin"/>
      </w:r>
      <w:r>
        <w:rPr>
          <w:highlight w:val="none"/>
        </w:rPr>
        <w:instrText xml:space="preserve"> PAGEREF _Toc31781 </w:instrText>
      </w:r>
      <w:r>
        <w:rPr>
          <w:highlight w:val="none"/>
        </w:rPr>
        <w:fldChar w:fldCharType="separate"/>
      </w:r>
      <w:r>
        <w:rPr>
          <w:highlight w:val="none"/>
        </w:rPr>
        <w:t>7</w:t>
      </w:r>
      <w:r>
        <w:rPr>
          <w:highlight w:val="none"/>
        </w:rPr>
        <w:fldChar w:fldCharType="end"/>
      </w:r>
      <w:r>
        <w:rPr>
          <w:highlight w:val="none"/>
        </w:rPr>
        <w:fldChar w:fldCharType="end"/>
      </w:r>
    </w:p>
    <w:p>
      <w:pPr>
        <w:pStyle w:val="24"/>
        <w:tabs>
          <w:tab w:val="right" w:leader="dot" w:pos="9586"/>
          <w:tab w:val="clear" w:pos="660"/>
          <w:tab w:val="clear" w:pos="9061"/>
        </w:tabs>
        <w:rPr>
          <w:highlight w:val="none"/>
        </w:rPr>
      </w:pPr>
      <w:r>
        <w:rPr>
          <w:highlight w:val="none"/>
        </w:rPr>
        <w:fldChar w:fldCharType="begin"/>
      </w:r>
      <w:r>
        <w:rPr>
          <w:highlight w:val="none"/>
        </w:rPr>
        <w:instrText xml:space="preserve"> HYPERLINK \l "_Toc11622" </w:instrText>
      </w:r>
      <w:r>
        <w:rPr>
          <w:highlight w:val="none"/>
        </w:rPr>
        <w:fldChar w:fldCharType="separate"/>
      </w:r>
      <w:r>
        <w:rPr>
          <w:highlight w:val="none"/>
        </w:rPr>
        <w:t>6. CONDIÇÕES DE PARTICIPAÇÃO</w:t>
      </w:r>
      <w:r>
        <w:rPr>
          <w:highlight w:val="none"/>
        </w:rPr>
        <w:tab/>
      </w:r>
      <w:r>
        <w:rPr>
          <w:highlight w:val="none"/>
        </w:rPr>
        <w:fldChar w:fldCharType="begin"/>
      </w:r>
      <w:r>
        <w:rPr>
          <w:highlight w:val="none"/>
        </w:rPr>
        <w:instrText xml:space="preserve"> PAGEREF _Toc11622 </w:instrText>
      </w:r>
      <w:r>
        <w:rPr>
          <w:highlight w:val="none"/>
        </w:rPr>
        <w:fldChar w:fldCharType="separate"/>
      </w:r>
      <w:r>
        <w:rPr>
          <w:highlight w:val="none"/>
        </w:rPr>
        <w:t>8</w:t>
      </w:r>
      <w:r>
        <w:rPr>
          <w:highlight w:val="none"/>
        </w:rPr>
        <w:fldChar w:fldCharType="end"/>
      </w:r>
      <w:r>
        <w:rPr>
          <w:highlight w:val="none"/>
        </w:rPr>
        <w:fldChar w:fldCharType="end"/>
      </w:r>
    </w:p>
    <w:p>
      <w:pPr>
        <w:pStyle w:val="24"/>
        <w:tabs>
          <w:tab w:val="right" w:leader="dot" w:pos="9586"/>
          <w:tab w:val="clear" w:pos="660"/>
          <w:tab w:val="clear" w:pos="9061"/>
        </w:tabs>
        <w:rPr>
          <w:highlight w:val="none"/>
        </w:rPr>
      </w:pPr>
      <w:r>
        <w:rPr>
          <w:highlight w:val="none"/>
        </w:rPr>
        <w:fldChar w:fldCharType="begin"/>
      </w:r>
      <w:r>
        <w:rPr>
          <w:highlight w:val="none"/>
        </w:rPr>
        <w:instrText xml:space="preserve"> HYPERLINK \l "_Toc20983" </w:instrText>
      </w:r>
      <w:r>
        <w:rPr>
          <w:highlight w:val="none"/>
        </w:rPr>
        <w:fldChar w:fldCharType="separate"/>
      </w:r>
      <w:r>
        <w:rPr>
          <w:highlight w:val="none"/>
        </w:rPr>
        <w:t>7. VISITA AO LOCAL DAS OBRAS</w:t>
      </w:r>
      <w:r>
        <w:rPr>
          <w:highlight w:val="none"/>
        </w:rPr>
        <w:tab/>
      </w:r>
      <w:r>
        <w:rPr>
          <w:highlight w:val="none"/>
        </w:rPr>
        <w:fldChar w:fldCharType="begin"/>
      </w:r>
      <w:r>
        <w:rPr>
          <w:highlight w:val="none"/>
        </w:rPr>
        <w:instrText xml:space="preserve"> PAGEREF _Toc20983 </w:instrText>
      </w:r>
      <w:r>
        <w:rPr>
          <w:highlight w:val="none"/>
        </w:rPr>
        <w:fldChar w:fldCharType="separate"/>
      </w:r>
      <w:r>
        <w:rPr>
          <w:highlight w:val="none"/>
        </w:rPr>
        <w:t>8</w:t>
      </w:r>
      <w:r>
        <w:rPr>
          <w:highlight w:val="none"/>
        </w:rPr>
        <w:fldChar w:fldCharType="end"/>
      </w:r>
      <w:r>
        <w:rPr>
          <w:highlight w:val="none"/>
        </w:rPr>
        <w:fldChar w:fldCharType="end"/>
      </w:r>
    </w:p>
    <w:p>
      <w:pPr>
        <w:pStyle w:val="24"/>
        <w:tabs>
          <w:tab w:val="right" w:leader="dot" w:pos="9586"/>
          <w:tab w:val="clear" w:pos="660"/>
          <w:tab w:val="clear" w:pos="9061"/>
        </w:tabs>
        <w:rPr>
          <w:highlight w:val="none"/>
        </w:rPr>
      </w:pPr>
      <w:r>
        <w:rPr>
          <w:highlight w:val="none"/>
        </w:rPr>
        <w:fldChar w:fldCharType="begin"/>
      </w:r>
      <w:r>
        <w:rPr>
          <w:highlight w:val="none"/>
        </w:rPr>
        <w:instrText xml:space="preserve"> HYPERLINK \l "_Toc8947" </w:instrText>
      </w:r>
      <w:r>
        <w:rPr>
          <w:highlight w:val="none"/>
        </w:rPr>
        <w:fldChar w:fldCharType="separate"/>
      </w:r>
      <w:r>
        <w:rPr>
          <w:highlight w:val="none"/>
        </w:rPr>
        <w:t>8. PROPOSTA FINANCEIRA</w:t>
      </w:r>
      <w:r>
        <w:rPr>
          <w:highlight w:val="none"/>
        </w:rPr>
        <w:tab/>
      </w:r>
      <w:r>
        <w:rPr>
          <w:highlight w:val="none"/>
        </w:rPr>
        <w:fldChar w:fldCharType="begin"/>
      </w:r>
      <w:r>
        <w:rPr>
          <w:highlight w:val="none"/>
        </w:rPr>
        <w:instrText xml:space="preserve"> PAGEREF _Toc8947 </w:instrText>
      </w:r>
      <w:r>
        <w:rPr>
          <w:highlight w:val="none"/>
        </w:rPr>
        <w:fldChar w:fldCharType="separate"/>
      </w:r>
      <w:r>
        <w:rPr>
          <w:highlight w:val="none"/>
        </w:rPr>
        <w:t>9</w:t>
      </w:r>
      <w:r>
        <w:rPr>
          <w:highlight w:val="none"/>
        </w:rPr>
        <w:fldChar w:fldCharType="end"/>
      </w:r>
      <w:r>
        <w:rPr>
          <w:highlight w:val="none"/>
        </w:rPr>
        <w:fldChar w:fldCharType="end"/>
      </w:r>
    </w:p>
    <w:p>
      <w:pPr>
        <w:pStyle w:val="24"/>
        <w:tabs>
          <w:tab w:val="right" w:leader="dot" w:pos="9586"/>
          <w:tab w:val="clear" w:pos="660"/>
          <w:tab w:val="clear" w:pos="9061"/>
        </w:tabs>
        <w:rPr>
          <w:highlight w:val="none"/>
        </w:rPr>
      </w:pPr>
      <w:r>
        <w:rPr>
          <w:highlight w:val="none"/>
        </w:rPr>
        <w:fldChar w:fldCharType="begin"/>
      </w:r>
      <w:r>
        <w:rPr>
          <w:highlight w:val="none"/>
        </w:rPr>
        <w:instrText xml:space="preserve"> HYPERLINK \l "_Toc31974" </w:instrText>
      </w:r>
      <w:r>
        <w:rPr>
          <w:highlight w:val="none"/>
        </w:rPr>
        <w:fldChar w:fldCharType="separate"/>
      </w:r>
      <w:r>
        <w:rPr>
          <w:highlight w:val="none"/>
        </w:rPr>
        <w:t>9. DOCUMENTAÇÃO DE HABILITAÇÃO</w:t>
      </w:r>
      <w:r>
        <w:rPr>
          <w:highlight w:val="none"/>
        </w:rPr>
        <w:tab/>
      </w:r>
      <w:r>
        <w:rPr>
          <w:highlight w:val="none"/>
        </w:rPr>
        <w:fldChar w:fldCharType="begin"/>
      </w:r>
      <w:r>
        <w:rPr>
          <w:highlight w:val="none"/>
        </w:rPr>
        <w:instrText xml:space="preserve"> PAGEREF _Toc31974 </w:instrText>
      </w:r>
      <w:r>
        <w:rPr>
          <w:highlight w:val="none"/>
        </w:rPr>
        <w:fldChar w:fldCharType="separate"/>
      </w:r>
      <w:r>
        <w:rPr>
          <w:highlight w:val="none"/>
        </w:rPr>
        <w:t>10</w:t>
      </w:r>
      <w:r>
        <w:rPr>
          <w:highlight w:val="none"/>
        </w:rPr>
        <w:fldChar w:fldCharType="end"/>
      </w:r>
      <w:r>
        <w:rPr>
          <w:highlight w:val="none"/>
        </w:rPr>
        <w:fldChar w:fldCharType="end"/>
      </w:r>
    </w:p>
    <w:p>
      <w:pPr>
        <w:pStyle w:val="24"/>
        <w:tabs>
          <w:tab w:val="right" w:leader="dot" w:pos="9586"/>
          <w:tab w:val="clear" w:pos="660"/>
          <w:tab w:val="clear" w:pos="9061"/>
        </w:tabs>
        <w:rPr>
          <w:highlight w:val="none"/>
        </w:rPr>
      </w:pPr>
      <w:r>
        <w:rPr>
          <w:highlight w:val="none"/>
        </w:rPr>
        <w:fldChar w:fldCharType="begin"/>
      </w:r>
      <w:r>
        <w:rPr>
          <w:highlight w:val="none"/>
        </w:rPr>
        <w:instrText xml:space="preserve"> HYPERLINK \l "_Toc11654" </w:instrText>
      </w:r>
      <w:r>
        <w:rPr>
          <w:highlight w:val="none"/>
        </w:rPr>
        <w:fldChar w:fldCharType="separate"/>
      </w:r>
      <w:r>
        <w:rPr>
          <w:highlight w:val="none"/>
        </w:rPr>
        <w:t>10. ORÇAMENTO DE REFERÊNCIA, REFERÊNCIA DE PREÇOS E DOTAÇÃO ORÇAMENTÁRIA</w:t>
      </w:r>
      <w:r>
        <w:rPr>
          <w:highlight w:val="none"/>
        </w:rPr>
        <w:tab/>
      </w:r>
      <w:r>
        <w:rPr>
          <w:highlight w:val="none"/>
        </w:rPr>
        <w:fldChar w:fldCharType="begin"/>
      </w:r>
      <w:r>
        <w:rPr>
          <w:highlight w:val="none"/>
        </w:rPr>
        <w:instrText xml:space="preserve"> PAGEREF _Toc11654 </w:instrText>
      </w:r>
      <w:r>
        <w:rPr>
          <w:highlight w:val="none"/>
        </w:rPr>
        <w:fldChar w:fldCharType="separate"/>
      </w:r>
      <w:r>
        <w:rPr>
          <w:highlight w:val="none"/>
        </w:rPr>
        <w:t>12</w:t>
      </w:r>
      <w:r>
        <w:rPr>
          <w:highlight w:val="none"/>
        </w:rPr>
        <w:fldChar w:fldCharType="end"/>
      </w:r>
      <w:r>
        <w:rPr>
          <w:highlight w:val="none"/>
        </w:rPr>
        <w:fldChar w:fldCharType="end"/>
      </w:r>
    </w:p>
    <w:p>
      <w:pPr>
        <w:pStyle w:val="24"/>
        <w:tabs>
          <w:tab w:val="right" w:leader="dot" w:pos="9586"/>
          <w:tab w:val="clear" w:pos="660"/>
          <w:tab w:val="clear" w:pos="9061"/>
        </w:tabs>
        <w:rPr>
          <w:highlight w:val="none"/>
        </w:rPr>
      </w:pPr>
      <w:r>
        <w:rPr>
          <w:highlight w:val="none"/>
        </w:rPr>
        <w:fldChar w:fldCharType="begin"/>
      </w:r>
      <w:r>
        <w:rPr>
          <w:highlight w:val="none"/>
        </w:rPr>
        <w:instrText xml:space="preserve"> HYPERLINK \l "_Toc12459" </w:instrText>
      </w:r>
      <w:r>
        <w:rPr>
          <w:highlight w:val="none"/>
        </w:rPr>
        <w:fldChar w:fldCharType="separate"/>
      </w:r>
      <w:r>
        <w:rPr>
          <w:highlight w:val="none"/>
        </w:rPr>
        <w:t>11. PRAZO DE EXECUÇÃO DOS SERVIÇOS E PRAZO DE VIGÊNCIA DO CONTRATO</w:t>
      </w:r>
      <w:r>
        <w:rPr>
          <w:highlight w:val="none"/>
        </w:rPr>
        <w:tab/>
      </w:r>
      <w:r>
        <w:rPr>
          <w:highlight w:val="none"/>
        </w:rPr>
        <w:fldChar w:fldCharType="begin"/>
      </w:r>
      <w:r>
        <w:rPr>
          <w:highlight w:val="none"/>
        </w:rPr>
        <w:instrText xml:space="preserve"> PAGEREF _Toc12459 </w:instrText>
      </w:r>
      <w:r>
        <w:rPr>
          <w:highlight w:val="none"/>
        </w:rPr>
        <w:fldChar w:fldCharType="separate"/>
      </w:r>
      <w:r>
        <w:rPr>
          <w:highlight w:val="none"/>
        </w:rPr>
        <w:t>12</w:t>
      </w:r>
      <w:r>
        <w:rPr>
          <w:highlight w:val="none"/>
        </w:rPr>
        <w:fldChar w:fldCharType="end"/>
      </w:r>
      <w:r>
        <w:rPr>
          <w:highlight w:val="none"/>
        </w:rPr>
        <w:fldChar w:fldCharType="end"/>
      </w:r>
    </w:p>
    <w:p>
      <w:pPr>
        <w:pStyle w:val="24"/>
        <w:tabs>
          <w:tab w:val="right" w:leader="dot" w:pos="9586"/>
          <w:tab w:val="clear" w:pos="660"/>
          <w:tab w:val="clear" w:pos="9061"/>
        </w:tabs>
        <w:rPr>
          <w:highlight w:val="none"/>
        </w:rPr>
      </w:pPr>
      <w:r>
        <w:rPr>
          <w:highlight w:val="none"/>
        </w:rPr>
        <w:fldChar w:fldCharType="begin"/>
      </w:r>
      <w:r>
        <w:rPr>
          <w:highlight w:val="none"/>
        </w:rPr>
        <w:instrText xml:space="preserve"> HYPERLINK \l "_Toc14049" </w:instrText>
      </w:r>
      <w:r>
        <w:rPr>
          <w:highlight w:val="none"/>
        </w:rPr>
        <w:fldChar w:fldCharType="separate"/>
      </w:r>
      <w:r>
        <w:rPr>
          <w:highlight w:val="none"/>
        </w:rPr>
        <w:t>12. FORMAS E CONDIÇÕES DE PAGAMENTO</w:t>
      </w:r>
      <w:r>
        <w:rPr>
          <w:highlight w:val="none"/>
        </w:rPr>
        <w:tab/>
      </w:r>
      <w:r>
        <w:rPr>
          <w:highlight w:val="none"/>
        </w:rPr>
        <w:fldChar w:fldCharType="begin"/>
      </w:r>
      <w:r>
        <w:rPr>
          <w:highlight w:val="none"/>
        </w:rPr>
        <w:instrText xml:space="preserve"> PAGEREF _Toc14049 </w:instrText>
      </w:r>
      <w:r>
        <w:rPr>
          <w:highlight w:val="none"/>
        </w:rPr>
        <w:fldChar w:fldCharType="separate"/>
      </w:r>
      <w:r>
        <w:rPr>
          <w:highlight w:val="none"/>
        </w:rPr>
        <w:t>13</w:t>
      </w:r>
      <w:r>
        <w:rPr>
          <w:highlight w:val="none"/>
        </w:rPr>
        <w:fldChar w:fldCharType="end"/>
      </w:r>
      <w:r>
        <w:rPr>
          <w:highlight w:val="none"/>
        </w:rPr>
        <w:fldChar w:fldCharType="end"/>
      </w:r>
    </w:p>
    <w:p>
      <w:pPr>
        <w:pStyle w:val="24"/>
        <w:tabs>
          <w:tab w:val="right" w:leader="dot" w:pos="9586"/>
          <w:tab w:val="clear" w:pos="660"/>
          <w:tab w:val="clear" w:pos="9061"/>
        </w:tabs>
        <w:rPr>
          <w:highlight w:val="none"/>
        </w:rPr>
      </w:pPr>
      <w:r>
        <w:rPr>
          <w:highlight w:val="none"/>
        </w:rPr>
        <w:fldChar w:fldCharType="begin"/>
      </w:r>
      <w:r>
        <w:rPr>
          <w:highlight w:val="none"/>
        </w:rPr>
        <w:instrText xml:space="preserve"> HYPERLINK \l "_Toc18754" </w:instrText>
      </w:r>
      <w:r>
        <w:rPr>
          <w:highlight w:val="none"/>
        </w:rPr>
        <w:fldChar w:fldCharType="separate"/>
      </w:r>
      <w:r>
        <w:rPr>
          <w:highlight w:val="none"/>
        </w:rPr>
        <w:t>13. REAJUSTAMENTO</w:t>
      </w:r>
      <w:r>
        <w:rPr>
          <w:highlight w:val="none"/>
        </w:rPr>
        <w:tab/>
      </w:r>
      <w:r>
        <w:rPr>
          <w:highlight w:val="none"/>
        </w:rPr>
        <w:fldChar w:fldCharType="begin"/>
      </w:r>
      <w:r>
        <w:rPr>
          <w:highlight w:val="none"/>
        </w:rPr>
        <w:instrText xml:space="preserve"> PAGEREF _Toc18754 </w:instrText>
      </w:r>
      <w:r>
        <w:rPr>
          <w:highlight w:val="none"/>
        </w:rPr>
        <w:fldChar w:fldCharType="separate"/>
      </w:r>
      <w:r>
        <w:rPr>
          <w:highlight w:val="none"/>
        </w:rPr>
        <w:t>14</w:t>
      </w:r>
      <w:r>
        <w:rPr>
          <w:highlight w:val="none"/>
        </w:rPr>
        <w:fldChar w:fldCharType="end"/>
      </w:r>
      <w:r>
        <w:rPr>
          <w:highlight w:val="none"/>
        </w:rPr>
        <w:fldChar w:fldCharType="end"/>
      </w:r>
    </w:p>
    <w:p>
      <w:pPr>
        <w:pStyle w:val="24"/>
        <w:tabs>
          <w:tab w:val="right" w:leader="dot" w:pos="9586"/>
          <w:tab w:val="clear" w:pos="660"/>
          <w:tab w:val="clear" w:pos="9061"/>
        </w:tabs>
        <w:rPr>
          <w:highlight w:val="none"/>
        </w:rPr>
      </w:pPr>
      <w:r>
        <w:rPr>
          <w:highlight w:val="none"/>
        </w:rPr>
        <w:fldChar w:fldCharType="begin"/>
      </w:r>
      <w:r>
        <w:rPr>
          <w:highlight w:val="none"/>
        </w:rPr>
        <w:instrText xml:space="preserve"> HYPERLINK \l "_Toc26436" </w:instrText>
      </w:r>
      <w:r>
        <w:rPr>
          <w:highlight w:val="none"/>
        </w:rPr>
        <w:fldChar w:fldCharType="separate"/>
      </w:r>
      <w:r>
        <w:rPr>
          <w:bCs/>
          <w:highlight w:val="none"/>
        </w:rPr>
        <w:t xml:space="preserve">14. </w:t>
      </w:r>
      <w:r>
        <w:rPr>
          <w:highlight w:val="none"/>
        </w:rPr>
        <w:t>MULTAS</w:t>
      </w:r>
      <w:r>
        <w:rPr>
          <w:highlight w:val="none"/>
        </w:rPr>
        <w:tab/>
      </w:r>
      <w:r>
        <w:rPr>
          <w:highlight w:val="none"/>
        </w:rPr>
        <w:fldChar w:fldCharType="begin"/>
      </w:r>
      <w:r>
        <w:rPr>
          <w:highlight w:val="none"/>
        </w:rPr>
        <w:instrText xml:space="preserve"> PAGEREF _Toc26436 </w:instrText>
      </w:r>
      <w:r>
        <w:rPr>
          <w:highlight w:val="none"/>
        </w:rPr>
        <w:fldChar w:fldCharType="separate"/>
      </w:r>
      <w:r>
        <w:rPr>
          <w:highlight w:val="none"/>
        </w:rPr>
        <w:t>15</w:t>
      </w:r>
      <w:r>
        <w:rPr>
          <w:highlight w:val="none"/>
        </w:rPr>
        <w:fldChar w:fldCharType="end"/>
      </w:r>
      <w:r>
        <w:rPr>
          <w:highlight w:val="none"/>
        </w:rPr>
        <w:fldChar w:fldCharType="end"/>
      </w:r>
    </w:p>
    <w:p>
      <w:pPr>
        <w:pStyle w:val="24"/>
        <w:tabs>
          <w:tab w:val="right" w:leader="dot" w:pos="9586"/>
          <w:tab w:val="clear" w:pos="660"/>
          <w:tab w:val="clear" w:pos="9061"/>
        </w:tabs>
        <w:rPr>
          <w:highlight w:val="none"/>
        </w:rPr>
      </w:pPr>
      <w:r>
        <w:rPr>
          <w:highlight w:val="none"/>
        </w:rPr>
        <w:fldChar w:fldCharType="begin"/>
      </w:r>
      <w:r>
        <w:rPr>
          <w:highlight w:val="none"/>
        </w:rPr>
        <w:instrText xml:space="preserve"> HYPERLINK \l "_Toc317" </w:instrText>
      </w:r>
      <w:r>
        <w:rPr>
          <w:highlight w:val="none"/>
        </w:rPr>
        <w:fldChar w:fldCharType="separate"/>
      </w:r>
      <w:r>
        <w:rPr>
          <w:bCs/>
          <w:highlight w:val="none"/>
        </w:rPr>
        <w:t xml:space="preserve">15. </w:t>
      </w:r>
      <w:r>
        <w:rPr>
          <w:highlight w:val="none"/>
        </w:rPr>
        <w:t>GARANTIA</w:t>
      </w:r>
      <w:r>
        <w:rPr>
          <w:bCs/>
          <w:highlight w:val="none"/>
        </w:rPr>
        <w:t xml:space="preserve"> DE EXECUÇÃO</w:t>
      </w:r>
      <w:r>
        <w:rPr>
          <w:highlight w:val="none"/>
        </w:rPr>
        <w:tab/>
      </w:r>
      <w:r>
        <w:rPr>
          <w:highlight w:val="none"/>
        </w:rPr>
        <w:fldChar w:fldCharType="begin"/>
      </w:r>
      <w:r>
        <w:rPr>
          <w:highlight w:val="none"/>
        </w:rPr>
        <w:instrText xml:space="preserve"> PAGEREF _Toc317 </w:instrText>
      </w:r>
      <w:r>
        <w:rPr>
          <w:highlight w:val="none"/>
        </w:rPr>
        <w:fldChar w:fldCharType="separate"/>
      </w:r>
      <w:r>
        <w:rPr>
          <w:highlight w:val="none"/>
        </w:rPr>
        <w:t>17</w:t>
      </w:r>
      <w:r>
        <w:rPr>
          <w:highlight w:val="none"/>
        </w:rPr>
        <w:fldChar w:fldCharType="end"/>
      </w:r>
      <w:r>
        <w:rPr>
          <w:highlight w:val="none"/>
        </w:rPr>
        <w:fldChar w:fldCharType="end"/>
      </w:r>
    </w:p>
    <w:p>
      <w:pPr>
        <w:pStyle w:val="24"/>
        <w:tabs>
          <w:tab w:val="right" w:leader="dot" w:pos="9586"/>
          <w:tab w:val="clear" w:pos="660"/>
          <w:tab w:val="clear" w:pos="9061"/>
        </w:tabs>
        <w:rPr>
          <w:highlight w:val="none"/>
        </w:rPr>
      </w:pPr>
      <w:r>
        <w:rPr>
          <w:highlight w:val="none"/>
        </w:rPr>
        <w:fldChar w:fldCharType="begin"/>
      </w:r>
      <w:r>
        <w:rPr>
          <w:highlight w:val="none"/>
        </w:rPr>
        <w:instrText xml:space="preserve"> HYPERLINK \l "_Toc15626" </w:instrText>
      </w:r>
      <w:r>
        <w:rPr>
          <w:highlight w:val="none"/>
        </w:rPr>
        <w:fldChar w:fldCharType="separate"/>
      </w:r>
      <w:r>
        <w:rPr>
          <w:highlight w:val="none"/>
        </w:rPr>
        <w:t>16. FISCALIZAÇÃO</w:t>
      </w:r>
      <w:r>
        <w:rPr>
          <w:highlight w:val="none"/>
        </w:rPr>
        <w:tab/>
      </w:r>
      <w:r>
        <w:rPr>
          <w:highlight w:val="none"/>
        </w:rPr>
        <w:fldChar w:fldCharType="begin"/>
      </w:r>
      <w:r>
        <w:rPr>
          <w:highlight w:val="none"/>
        </w:rPr>
        <w:instrText xml:space="preserve"> PAGEREF _Toc15626 </w:instrText>
      </w:r>
      <w:r>
        <w:rPr>
          <w:highlight w:val="none"/>
        </w:rPr>
        <w:fldChar w:fldCharType="separate"/>
      </w:r>
      <w:r>
        <w:rPr>
          <w:highlight w:val="none"/>
        </w:rPr>
        <w:t>17</w:t>
      </w:r>
      <w:r>
        <w:rPr>
          <w:highlight w:val="none"/>
        </w:rPr>
        <w:fldChar w:fldCharType="end"/>
      </w:r>
      <w:r>
        <w:rPr>
          <w:highlight w:val="none"/>
        </w:rPr>
        <w:fldChar w:fldCharType="end"/>
      </w:r>
    </w:p>
    <w:p>
      <w:pPr>
        <w:pStyle w:val="24"/>
        <w:tabs>
          <w:tab w:val="right" w:leader="dot" w:pos="9586"/>
          <w:tab w:val="clear" w:pos="660"/>
          <w:tab w:val="clear" w:pos="9061"/>
        </w:tabs>
        <w:rPr>
          <w:highlight w:val="none"/>
        </w:rPr>
      </w:pPr>
      <w:r>
        <w:rPr>
          <w:highlight w:val="none"/>
        </w:rPr>
        <w:fldChar w:fldCharType="begin"/>
      </w:r>
      <w:r>
        <w:rPr>
          <w:highlight w:val="none"/>
        </w:rPr>
        <w:instrText xml:space="preserve"> HYPERLINK \l "_Toc31598" </w:instrText>
      </w:r>
      <w:r>
        <w:rPr>
          <w:highlight w:val="none"/>
        </w:rPr>
        <w:fldChar w:fldCharType="separate"/>
      </w:r>
      <w:r>
        <w:rPr>
          <w:highlight w:val="none"/>
        </w:rPr>
        <w:t>17. RECEBIMENTO DEFINITIVO DOS SERVIÇOS</w:t>
      </w:r>
      <w:r>
        <w:rPr>
          <w:highlight w:val="none"/>
        </w:rPr>
        <w:tab/>
      </w:r>
      <w:r>
        <w:rPr>
          <w:highlight w:val="none"/>
        </w:rPr>
        <w:fldChar w:fldCharType="begin"/>
      </w:r>
      <w:r>
        <w:rPr>
          <w:highlight w:val="none"/>
        </w:rPr>
        <w:instrText xml:space="preserve"> PAGEREF _Toc31598 </w:instrText>
      </w:r>
      <w:r>
        <w:rPr>
          <w:highlight w:val="none"/>
        </w:rPr>
        <w:fldChar w:fldCharType="separate"/>
      </w:r>
      <w:r>
        <w:rPr>
          <w:highlight w:val="none"/>
        </w:rPr>
        <w:t>20</w:t>
      </w:r>
      <w:r>
        <w:rPr>
          <w:highlight w:val="none"/>
        </w:rPr>
        <w:fldChar w:fldCharType="end"/>
      </w:r>
      <w:r>
        <w:rPr>
          <w:highlight w:val="none"/>
        </w:rPr>
        <w:fldChar w:fldCharType="end"/>
      </w:r>
    </w:p>
    <w:p>
      <w:pPr>
        <w:pStyle w:val="24"/>
        <w:tabs>
          <w:tab w:val="right" w:leader="dot" w:pos="9586"/>
          <w:tab w:val="clear" w:pos="660"/>
          <w:tab w:val="clear" w:pos="9061"/>
        </w:tabs>
        <w:rPr>
          <w:highlight w:val="none"/>
        </w:rPr>
      </w:pPr>
      <w:r>
        <w:rPr>
          <w:highlight w:val="none"/>
        </w:rPr>
        <w:fldChar w:fldCharType="begin"/>
      </w:r>
      <w:r>
        <w:rPr>
          <w:highlight w:val="none"/>
        </w:rPr>
        <w:instrText xml:space="preserve"> HYPERLINK \l "_Toc32272" </w:instrText>
      </w:r>
      <w:r>
        <w:rPr>
          <w:highlight w:val="none"/>
        </w:rPr>
        <w:fldChar w:fldCharType="separate"/>
      </w:r>
      <w:r>
        <w:rPr>
          <w:highlight w:val="none"/>
        </w:rPr>
        <w:t>18. SEGURANÇA E MEDICINA DO TRABALHO</w:t>
      </w:r>
      <w:r>
        <w:rPr>
          <w:highlight w:val="none"/>
        </w:rPr>
        <w:tab/>
      </w:r>
      <w:r>
        <w:rPr>
          <w:highlight w:val="none"/>
        </w:rPr>
        <w:fldChar w:fldCharType="begin"/>
      </w:r>
      <w:r>
        <w:rPr>
          <w:highlight w:val="none"/>
        </w:rPr>
        <w:instrText xml:space="preserve"> PAGEREF _Toc32272 </w:instrText>
      </w:r>
      <w:r>
        <w:rPr>
          <w:highlight w:val="none"/>
        </w:rPr>
        <w:fldChar w:fldCharType="separate"/>
      </w:r>
      <w:r>
        <w:rPr>
          <w:highlight w:val="none"/>
        </w:rPr>
        <w:t>21</w:t>
      </w:r>
      <w:r>
        <w:rPr>
          <w:highlight w:val="none"/>
        </w:rPr>
        <w:fldChar w:fldCharType="end"/>
      </w:r>
      <w:r>
        <w:rPr>
          <w:highlight w:val="none"/>
        </w:rPr>
        <w:fldChar w:fldCharType="end"/>
      </w:r>
    </w:p>
    <w:p>
      <w:pPr>
        <w:pStyle w:val="24"/>
        <w:tabs>
          <w:tab w:val="right" w:leader="dot" w:pos="9586"/>
          <w:tab w:val="clear" w:pos="660"/>
          <w:tab w:val="clear" w:pos="9061"/>
        </w:tabs>
        <w:rPr>
          <w:highlight w:val="none"/>
        </w:rPr>
      </w:pPr>
      <w:r>
        <w:rPr>
          <w:highlight w:val="none"/>
        </w:rPr>
        <w:fldChar w:fldCharType="begin"/>
      </w:r>
      <w:r>
        <w:rPr>
          <w:highlight w:val="none"/>
        </w:rPr>
        <w:instrText xml:space="preserve"> HYPERLINK \l "_Toc17196" </w:instrText>
      </w:r>
      <w:r>
        <w:rPr>
          <w:highlight w:val="none"/>
        </w:rPr>
        <w:fldChar w:fldCharType="separate"/>
      </w:r>
      <w:r>
        <w:rPr>
          <w:highlight w:val="none"/>
        </w:rPr>
        <w:t>19. CRITÉRIOS DE SUSTENTABILIDADE AMBIENTAL</w:t>
      </w:r>
      <w:r>
        <w:rPr>
          <w:highlight w:val="none"/>
        </w:rPr>
        <w:tab/>
      </w:r>
      <w:r>
        <w:rPr>
          <w:highlight w:val="none"/>
        </w:rPr>
        <w:fldChar w:fldCharType="begin"/>
      </w:r>
      <w:r>
        <w:rPr>
          <w:highlight w:val="none"/>
        </w:rPr>
        <w:instrText xml:space="preserve"> PAGEREF _Toc17196 </w:instrText>
      </w:r>
      <w:r>
        <w:rPr>
          <w:highlight w:val="none"/>
        </w:rPr>
        <w:fldChar w:fldCharType="separate"/>
      </w:r>
      <w:r>
        <w:rPr>
          <w:highlight w:val="none"/>
        </w:rPr>
        <w:t>21</w:t>
      </w:r>
      <w:r>
        <w:rPr>
          <w:highlight w:val="none"/>
        </w:rPr>
        <w:fldChar w:fldCharType="end"/>
      </w:r>
      <w:r>
        <w:rPr>
          <w:highlight w:val="none"/>
        </w:rPr>
        <w:fldChar w:fldCharType="end"/>
      </w:r>
    </w:p>
    <w:p>
      <w:pPr>
        <w:pStyle w:val="24"/>
        <w:tabs>
          <w:tab w:val="right" w:leader="dot" w:pos="9586"/>
          <w:tab w:val="clear" w:pos="660"/>
          <w:tab w:val="clear" w:pos="9061"/>
        </w:tabs>
        <w:rPr>
          <w:highlight w:val="none"/>
        </w:rPr>
      </w:pPr>
      <w:r>
        <w:rPr>
          <w:highlight w:val="none"/>
        </w:rPr>
        <w:fldChar w:fldCharType="begin"/>
      </w:r>
      <w:r>
        <w:rPr>
          <w:highlight w:val="none"/>
        </w:rPr>
        <w:instrText xml:space="preserve"> HYPERLINK \l "_Toc14719" </w:instrText>
      </w:r>
      <w:r>
        <w:rPr>
          <w:highlight w:val="none"/>
        </w:rPr>
        <w:fldChar w:fldCharType="separate"/>
      </w:r>
      <w:r>
        <w:rPr>
          <w:highlight w:val="none"/>
        </w:rPr>
        <w:t>20. OBRIGAÇÕES DA CONTRATADA</w:t>
      </w:r>
      <w:r>
        <w:rPr>
          <w:highlight w:val="none"/>
        </w:rPr>
        <w:tab/>
      </w:r>
      <w:r>
        <w:rPr>
          <w:highlight w:val="none"/>
        </w:rPr>
        <w:fldChar w:fldCharType="begin"/>
      </w:r>
      <w:r>
        <w:rPr>
          <w:highlight w:val="none"/>
        </w:rPr>
        <w:instrText xml:space="preserve"> PAGEREF _Toc14719 </w:instrText>
      </w:r>
      <w:r>
        <w:rPr>
          <w:highlight w:val="none"/>
        </w:rPr>
        <w:fldChar w:fldCharType="separate"/>
      </w:r>
      <w:r>
        <w:rPr>
          <w:highlight w:val="none"/>
        </w:rPr>
        <w:t>24</w:t>
      </w:r>
      <w:r>
        <w:rPr>
          <w:highlight w:val="none"/>
        </w:rPr>
        <w:fldChar w:fldCharType="end"/>
      </w:r>
      <w:r>
        <w:rPr>
          <w:highlight w:val="none"/>
        </w:rPr>
        <w:fldChar w:fldCharType="end"/>
      </w:r>
    </w:p>
    <w:p>
      <w:pPr>
        <w:pStyle w:val="24"/>
        <w:tabs>
          <w:tab w:val="right" w:leader="dot" w:pos="9586"/>
          <w:tab w:val="clear" w:pos="660"/>
          <w:tab w:val="clear" w:pos="9061"/>
        </w:tabs>
        <w:rPr>
          <w:highlight w:val="none"/>
        </w:rPr>
      </w:pPr>
      <w:r>
        <w:rPr>
          <w:highlight w:val="none"/>
        </w:rPr>
        <w:fldChar w:fldCharType="begin"/>
      </w:r>
      <w:r>
        <w:rPr>
          <w:highlight w:val="none"/>
        </w:rPr>
        <w:instrText xml:space="preserve"> HYPERLINK \l "_Toc16259" </w:instrText>
      </w:r>
      <w:r>
        <w:rPr>
          <w:highlight w:val="none"/>
        </w:rPr>
        <w:fldChar w:fldCharType="separate"/>
      </w:r>
      <w:r>
        <w:rPr>
          <w:highlight w:val="none"/>
        </w:rPr>
        <w:t>21. OBRIGAÇÕES DA CODEVASF</w:t>
      </w:r>
      <w:r>
        <w:rPr>
          <w:highlight w:val="none"/>
        </w:rPr>
        <w:tab/>
      </w:r>
      <w:r>
        <w:rPr>
          <w:highlight w:val="none"/>
        </w:rPr>
        <w:fldChar w:fldCharType="begin"/>
      </w:r>
      <w:r>
        <w:rPr>
          <w:highlight w:val="none"/>
        </w:rPr>
        <w:instrText xml:space="preserve"> PAGEREF _Toc16259 </w:instrText>
      </w:r>
      <w:r>
        <w:rPr>
          <w:highlight w:val="none"/>
        </w:rPr>
        <w:fldChar w:fldCharType="separate"/>
      </w:r>
      <w:r>
        <w:rPr>
          <w:highlight w:val="none"/>
        </w:rPr>
        <w:t>29</w:t>
      </w:r>
      <w:r>
        <w:rPr>
          <w:highlight w:val="none"/>
        </w:rPr>
        <w:fldChar w:fldCharType="end"/>
      </w:r>
      <w:r>
        <w:rPr>
          <w:highlight w:val="none"/>
        </w:rPr>
        <w:fldChar w:fldCharType="end"/>
      </w:r>
    </w:p>
    <w:p>
      <w:pPr>
        <w:pStyle w:val="24"/>
        <w:tabs>
          <w:tab w:val="right" w:leader="dot" w:pos="9586"/>
          <w:tab w:val="clear" w:pos="660"/>
          <w:tab w:val="clear" w:pos="9061"/>
        </w:tabs>
        <w:rPr>
          <w:highlight w:val="none"/>
        </w:rPr>
      </w:pPr>
      <w:r>
        <w:rPr>
          <w:highlight w:val="none"/>
        </w:rPr>
        <w:fldChar w:fldCharType="begin"/>
      </w:r>
      <w:r>
        <w:rPr>
          <w:highlight w:val="none"/>
        </w:rPr>
        <w:instrText xml:space="preserve"> HYPERLINK \l "_Toc1196" </w:instrText>
      </w:r>
      <w:r>
        <w:rPr>
          <w:highlight w:val="none"/>
        </w:rPr>
        <w:fldChar w:fldCharType="separate"/>
      </w:r>
      <w:r>
        <w:rPr>
          <w:highlight w:val="none"/>
        </w:rPr>
        <w:t>22. MATRIZ DE RISCO</w:t>
      </w:r>
      <w:r>
        <w:rPr>
          <w:highlight w:val="none"/>
        </w:rPr>
        <w:tab/>
      </w:r>
      <w:r>
        <w:rPr>
          <w:highlight w:val="none"/>
        </w:rPr>
        <w:fldChar w:fldCharType="begin"/>
      </w:r>
      <w:r>
        <w:rPr>
          <w:highlight w:val="none"/>
        </w:rPr>
        <w:instrText xml:space="preserve"> PAGEREF _Toc1196 </w:instrText>
      </w:r>
      <w:r>
        <w:rPr>
          <w:highlight w:val="none"/>
        </w:rPr>
        <w:fldChar w:fldCharType="separate"/>
      </w:r>
      <w:r>
        <w:rPr>
          <w:highlight w:val="none"/>
        </w:rPr>
        <w:t>30</w:t>
      </w:r>
      <w:r>
        <w:rPr>
          <w:highlight w:val="none"/>
        </w:rPr>
        <w:fldChar w:fldCharType="end"/>
      </w:r>
      <w:r>
        <w:rPr>
          <w:highlight w:val="none"/>
        </w:rPr>
        <w:fldChar w:fldCharType="end"/>
      </w:r>
    </w:p>
    <w:p>
      <w:pPr>
        <w:pStyle w:val="24"/>
        <w:tabs>
          <w:tab w:val="right" w:leader="dot" w:pos="9586"/>
          <w:tab w:val="clear" w:pos="660"/>
          <w:tab w:val="clear" w:pos="9061"/>
        </w:tabs>
        <w:rPr>
          <w:highlight w:val="none"/>
        </w:rPr>
      </w:pPr>
      <w:r>
        <w:rPr>
          <w:highlight w:val="none"/>
        </w:rPr>
        <w:fldChar w:fldCharType="begin"/>
      </w:r>
      <w:r>
        <w:rPr>
          <w:highlight w:val="none"/>
        </w:rPr>
        <w:instrText xml:space="preserve"> HYPERLINK \l "_Toc14599" </w:instrText>
      </w:r>
      <w:r>
        <w:rPr>
          <w:highlight w:val="none"/>
        </w:rPr>
        <w:fldChar w:fldCharType="separate"/>
      </w:r>
      <w:r>
        <w:rPr>
          <w:highlight w:val="none"/>
        </w:rPr>
        <w:t>23. CONDIÇÕES GERAIS</w:t>
      </w:r>
      <w:r>
        <w:rPr>
          <w:highlight w:val="none"/>
        </w:rPr>
        <w:tab/>
      </w:r>
      <w:r>
        <w:rPr>
          <w:highlight w:val="none"/>
        </w:rPr>
        <w:fldChar w:fldCharType="begin"/>
      </w:r>
      <w:r>
        <w:rPr>
          <w:highlight w:val="none"/>
        </w:rPr>
        <w:instrText xml:space="preserve"> PAGEREF _Toc14599 </w:instrText>
      </w:r>
      <w:r>
        <w:rPr>
          <w:highlight w:val="none"/>
        </w:rPr>
        <w:fldChar w:fldCharType="separate"/>
      </w:r>
      <w:r>
        <w:rPr>
          <w:highlight w:val="none"/>
        </w:rPr>
        <w:t>30</w:t>
      </w:r>
      <w:r>
        <w:rPr>
          <w:highlight w:val="none"/>
        </w:rPr>
        <w:fldChar w:fldCharType="end"/>
      </w:r>
      <w:r>
        <w:rPr>
          <w:highlight w:val="none"/>
        </w:rPr>
        <w:fldChar w:fldCharType="end"/>
      </w:r>
    </w:p>
    <w:p>
      <w:pPr>
        <w:pStyle w:val="24"/>
        <w:tabs>
          <w:tab w:val="right" w:leader="dot" w:pos="9586"/>
          <w:tab w:val="clear" w:pos="660"/>
          <w:tab w:val="clear" w:pos="9061"/>
        </w:tabs>
        <w:rPr>
          <w:highlight w:val="none"/>
        </w:rPr>
      </w:pPr>
      <w:r>
        <w:rPr>
          <w:highlight w:val="none"/>
        </w:rPr>
        <w:fldChar w:fldCharType="begin"/>
      </w:r>
      <w:r>
        <w:rPr>
          <w:highlight w:val="none"/>
        </w:rPr>
        <w:instrText xml:space="preserve"> HYPERLINK \l "_Toc13350" </w:instrText>
      </w:r>
      <w:r>
        <w:rPr>
          <w:highlight w:val="none"/>
        </w:rPr>
        <w:fldChar w:fldCharType="separate"/>
      </w:r>
      <w:r>
        <w:rPr>
          <w:highlight w:val="none"/>
        </w:rPr>
        <w:t>24. ANEXOS</w:t>
      </w:r>
      <w:r>
        <w:rPr>
          <w:highlight w:val="none"/>
        </w:rPr>
        <w:tab/>
      </w:r>
      <w:r>
        <w:rPr>
          <w:highlight w:val="none"/>
        </w:rPr>
        <w:fldChar w:fldCharType="begin"/>
      </w:r>
      <w:r>
        <w:rPr>
          <w:highlight w:val="none"/>
        </w:rPr>
        <w:instrText xml:space="preserve"> PAGEREF _Toc13350 </w:instrText>
      </w:r>
      <w:r>
        <w:rPr>
          <w:highlight w:val="none"/>
        </w:rPr>
        <w:fldChar w:fldCharType="separate"/>
      </w:r>
      <w:r>
        <w:rPr>
          <w:highlight w:val="none"/>
        </w:rPr>
        <w:t>30</w:t>
      </w:r>
      <w:r>
        <w:rPr>
          <w:highlight w:val="none"/>
        </w:rPr>
        <w:fldChar w:fldCharType="end"/>
      </w:r>
      <w:r>
        <w:rPr>
          <w:highlight w:val="none"/>
        </w:rPr>
        <w:fldChar w:fldCharType="end"/>
      </w:r>
    </w:p>
    <w:p>
      <w:pPr>
        <w:rPr>
          <w:szCs w:val="20"/>
          <w:highlight w:val="none"/>
        </w:rPr>
      </w:pPr>
      <w:r>
        <w:rPr>
          <w:szCs w:val="20"/>
          <w:highlight w:val="none"/>
        </w:rPr>
        <w:fldChar w:fldCharType="end"/>
      </w:r>
    </w:p>
    <w:p>
      <w:pPr>
        <w:rPr>
          <w:szCs w:val="20"/>
          <w:highlight w:val="none"/>
        </w:rPr>
      </w:pPr>
      <w:r>
        <w:rPr>
          <w:szCs w:val="20"/>
          <w:highlight w:val="none"/>
        </w:rPr>
        <w:br w:type="page"/>
      </w:r>
    </w:p>
    <w:p>
      <w:pPr>
        <w:jc w:val="center"/>
        <w:rPr>
          <w:b/>
          <w:szCs w:val="20"/>
          <w:highlight w:val="none"/>
        </w:rPr>
      </w:pPr>
      <w:r>
        <w:rPr>
          <w:b/>
          <w:szCs w:val="20"/>
          <w:highlight w:val="none"/>
        </w:rPr>
        <w:t>TERMO DE REFERÊNCIA</w:t>
      </w:r>
    </w:p>
    <w:p>
      <w:pPr>
        <w:rPr>
          <w:szCs w:val="20"/>
          <w:highlight w:val="none"/>
        </w:rPr>
      </w:pPr>
    </w:p>
    <w:p>
      <w:pPr>
        <w:pStyle w:val="2"/>
        <w:ind w:left="851" w:hanging="851"/>
        <w:rPr>
          <w:szCs w:val="20"/>
          <w:highlight w:val="none"/>
        </w:rPr>
      </w:pPr>
      <w:bookmarkStart w:id="0" w:name="_Toc25161"/>
      <w:bookmarkStart w:id="1" w:name="_Ref400449093"/>
      <w:r>
        <w:rPr>
          <w:szCs w:val="20"/>
          <w:highlight w:val="none"/>
        </w:rPr>
        <w:t>OBJETO DA CONTRATAÇÃO</w:t>
      </w:r>
      <w:bookmarkEnd w:id="0"/>
    </w:p>
    <w:p>
      <w:pPr>
        <w:rPr>
          <w:b/>
          <w:szCs w:val="20"/>
          <w:highlight w:val="none"/>
        </w:rPr>
      </w:pPr>
    </w:p>
    <w:p>
      <w:pPr>
        <w:pStyle w:val="4"/>
        <w:ind w:left="851" w:hanging="851"/>
        <w:rPr>
          <w:b/>
          <w:bCs/>
          <w:szCs w:val="20"/>
          <w:highlight w:val="none"/>
        </w:rPr>
      </w:pPr>
      <w:r>
        <w:rPr>
          <w:szCs w:val="20"/>
          <w:highlight w:val="none"/>
        </w:rPr>
        <w:t xml:space="preserve">O objetivo deste Termo de Referência é o estabelecimento de normas, critérios, condições contratuais principais e o fornecimento de todas as informações que permitam a elaboração de edital, apresentação de propostas e, posteriormente, a celebração de contrato para </w:t>
      </w:r>
      <w:r>
        <w:rPr>
          <w:rFonts w:hint="default"/>
          <w:b/>
          <w:bCs/>
          <w:szCs w:val="20"/>
          <w:highlight w:val="none"/>
          <w:lang w:val="en-US" w:eastAsia="zh-CN"/>
        </w:rPr>
        <w:t>execução dos serviços e obras para implantação do Sistema de Abastecimento de Água (SAA) atendendo à comunidade rural de Barrinha, no município de Bom Jesus da Lapa, no estado da Bahia, na área de jurisdição da 2ª Superintendência Regional da Codevasf.</w:t>
      </w:r>
    </w:p>
    <w:p>
      <w:pPr>
        <w:pStyle w:val="4"/>
        <w:ind w:left="851" w:hanging="851"/>
        <w:rPr>
          <w:szCs w:val="20"/>
          <w:highlight w:val="none"/>
        </w:rPr>
      </w:pPr>
    </w:p>
    <w:p>
      <w:pPr>
        <w:pStyle w:val="4"/>
        <w:numPr>
          <w:ilvl w:val="0"/>
          <w:numId w:val="0"/>
        </w:numPr>
        <w:ind w:left="851"/>
        <w:rPr>
          <w:szCs w:val="20"/>
          <w:highlight w:val="none"/>
        </w:rPr>
      </w:pPr>
    </w:p>
    <w:p>
      <w:pPr>
        <w:pStyle w:val="4"/>
        <w:ind w:left="851" w:hanging="851"/>
        <w:rPr>
          <w:szCs w:val="20"/>
          <w:highlight w:val="none"/>
        </w:rPr>
      </w:pPr>
      <w:r>
        <w:rPr>
          <w:szCs w:val="20"/>
          <w:highlight w:val="none"/>
        </w:rPr>
        <w:t>Código SIASG – CATSER: 1872</w:t>
      </w:r>
    </w:p>
    <w:p>
      <w:pPr>
        <w:rPr>
          <w:szCs w:val="20"/>
          <w:highlight w:val="none"/>
        </w:rPr>
      </w:pPr>
    </w:p>
    <w:bookmarkEnd w:id="1"/>
    <w:p>
      <w:pPr>
        <w:pStyle w:val="2"/>
        <w:tabs>
          <w:tab w:val="left" w:pos="851"/>
        </w:tabs>
        <w:ind w:left="851" w:hanging="851"/>
        <w:rPr>
          <w:szCs w:val="20"/>
          <w:highlight w:val="none"/>
        </w:rPr>
      </w:pPr>
      <w:bookmarkStart w:id="2" w:name="_Toc14321"/>
      <w:bookmarkStart w:id="3" w:name="_Toc401910394"/>
      <w:bookmarkStart w:id="4" w:name="_Toc401910395"/>
      <w:r>
        <w:rPr>
          <w:szCs w:val="20"/>
          <w:highlight w:val="none"/>
        </w:rPr>
        <w:t>TERMINOLOGIAS E DEFINIÇÕES</w:t>
      </w:r>
      <w:bookmarkEnd w:id="2"/>
      <w:bookmarkEnd w:id="3"/>
    </w:p>
    <w:p>
      <w:pPr>
        <w:rPr>
          <w:szCs w:val="20"/>
          <w:highlight w:val="none"/>
        </w:rPr>
      </w:pPr>
    </w:p>
    <w:p>
      <w:pPr>
        <w:rPr>
          <w:szCs w:val="20"/>
          <w:highlight w:val="none"/>
        </w:rPr>
      </w:pPr>
      <w:r>
        <w:rPr>
          <w:szCs w:val="20"/>
          <w:highlight w:val="none"/>
        </w:rPr>
        <w:t>Neste Termo de Referência (TR) ou em quaisquer outros documentos relacionados com os serviços acima solicitados, os termos ou expressões têm o seguinte significado e/ou interpretação:</w:t>
      </w:r>
    </w:p>
    <w:p>
      <w:pPr>
        <w:rPr>
          <w:szCs w:val="20"/>
          <w:highlight w:val="none"/>
        </w:rPr>
      </w:pPr>
    </w:p>
    <w:p>
      <w:pPr>
        <w:rPr>
          <w:szCs w:val="20"/>
          <w:highlight w:val="none"/>
        </w:rPr>
      </w:pPr>
      <w:r>
        <w:rPr>
          <w:b/>
          <w:szCs w:val="20"/>
          <w:highlight w:val="none"/>
        </w:rPr>
        <w:t>ÁREA DE REVITALIZAÇÃO DAS BACIAS HIDROGRÁFICAS</w:t>
      </w:r>
      <w:r>
        <w:rPr>
          <w:szCs w:val="20"/>
          <w:highlight w:val="none"/>
        </w:rPr>
        <w:t xml:space="preserve"> – Unidade da administração superior da Codevasf, a qual está afeta as demais unidades técnicas que têm por competência a fiscalização e a coordenação dos serviços de engenharia objeto deste Termo de Referência.</w:t>
      </w:r>
    </w:p>
    <w:p>
      <w:pPr>
        <w:rPr>
          <w:szCs w:val="20"/>
          <w:highlight w:val="none"/>
        </w:rPr>
      </w:pPr>
    </w:p>
    <w:p>
      <w:pPr>
        <w:rPr>
          <w:szCs w:val="20"/>
          <w:highlight w:val="none"/>
        </w:rPr>
      </w:pPr>
      <w:r>
        <w:rPr>
          <w:b/>
          <w:szCs w:val="20"/>
          <w:highlight w:val="none"/>
        </w:rPr>
        <w:t>CANTEIRO DE OBRAS</w:t>
      </w:r>
      <w:r>
        <w:rPr>
          <w:szCs w:val="20"/>
          <w:highlight w:val="none"/>
        </w:rPr>
        <w:t xml:space="preserve"> – Local onde serão implantadas as estruturas fixas e/ou móveis do empreiteiro, com vistas a apoiar suas atividades de execução das obras. Nestas estruturas estarão incluídas as instalações para as equipes de supervisão e eventualmente do pessoal de acompanhamento e controle da Codevasf.</w:t>
      </w:r>
    </w:p>
    <w:p>
      <w:pPr>
        <w:rPr>
          <w:szCs w:val="20"/>
          <w:highlight w:val="none"/>
        </w:rPr>
      </w:pPr>
    </w:p>
    <w:p>
      <w:pPr>
        <w:rPr>
          <w:szCs w:val="20"/>
          <w:highlight w:val="none"/>
        </w:rPr>
      </w:pPr>
      <w:r>
        <w:rPr>
          <w:b/>
          <w:szCs w:val="20"/>
          <w:highlight w:val="none"/>
        </w:rPr>
        <w:t>CODEVASF</w:t>
      </w:r>
      <w:r>
        <w:rPr>
          <w:szCs w:val="20"/>
          <w:highlight w:val="none"/>
        </w:rPr>
        <w:t xml:space="preserve"> – Companhia de Desenvolvimento dos Vales do São Francisco e do Parnaíba – Empresa pública vinculada ao Ministério do Desenvolvimento Regional - MDR, com sede no Setor de Grandes Áreas Norte, Quadra 601 – Lote 1 – Brasília-DF.</w:t>
      </w:r>
    </w:p>
    <w:p>
      <w:pPr>
        <w:rPr>
          <w:szCs w:val="20"/>
          <w:highlight w:val="none"/>
        </w:rPr>
      </w:pPr>
    </w:p>
    <w:p>
      <w:pPr>
        <w:rPr>
          <w:szCs w:val="20"/>
          <w:highlight w:val="none"/>
        </w:rPr>
      </w:pPr>
      <w:r>
        <w:rPr>
          <w:b/>
          <w:szCs w:val="20"/>
          <w:highlight w:val="none"/>
        </w:rPr>
        <w:t>COMO CONSTRUÍDO (AS BUILT)</w:t>
      </w:r>
      <w:r>
        <w:rPr>
          <w:szCs w:val="20"/>
          <w:highlight w:val="none"/>
        </w:rPr>
        <w:t>– É a definição qualitativa e quantitativa de todos os serviços executados, resultante do Projeto Executivo com as alterações e modificações ocorridas durante a execução da obra, como desenhos, listas, planilhas, etc.</w:t>
      </w:r>
    </w:p>
    <w:p>
      <w:pPr>
        <w:rPr>
          <w:szCs w:val="20"/>
          <w:highlight w:val="none"/>
        </w:rPr>
      </w:pPr>
    </w:p>
    <w:p>
      <w:pPr>
        <w:rPr>
          <w:szCs w:val="20"/>
          <w:highlight w:val="none"/>
        </w:rPr>
      </w:pPr>
      <w:r>
        <w:rPr>
          <w:b/>
          <w:szCs w:val="20"/>
          <w:highlight w:val="none"/>
        </w:rPr>
        <w:t>CONTRATADA</w:t>
      </w:r>
      <w:r>
        <w:rPr>
          <w:szCs w:val="20"/>
          <w:highlight w:val="none"/>
        </w:rPr>
        <w:t xml:space="preserve"> – Empresa licitante selecionada e contratada pela Codevasf para a execução dos serviços.</w:t>
      </w:r>
    </w:p>
    <w:p>
      <w:pPr>
        <w:rPr>
          <w:szCs w:val="20"/>
          <w:highlight w:val="none"/>
        </w:rPr>
      </w:pPr>
    </w:p>
    <w:p>
      <w:pPr>
        <w:rPr>
          <w:szCs w:val="20"/>
          <w:highlight w:val="none"/>
        </w:rPr>
      </w:pPr>
      <w:r>
        <w:rPr>
          <w:b/>
          <w:szCs w:val="20"/>
          <w:highlight w:val="none"/>
        </w:rPr>
        <w:t xml:space="preserve">CONTRATANTE – </w:t>
      </w:r>
      <w:r>
        <w:rPr>
          <w:szCs w:val="20"/>
          <w:highlight w:val="none"/>
        </w:rPr>
        <w:t>Companhia de Desenvolvimento dos Vales do São Francisco e Parnaíba, doravante denominada Codevasf.</w:t>
      </w:r>
    </w:p>
    <w:p>
      <w:pPr>
        <w:rPr>
          <w:szCs w:val="20"/>
          <w:highlight w:val="none"/>
        </w:rPr>
      </w:pPr>
    </w:p>
    <w:p>
      <w:pPr>
        <w:rPr>
          <w:szCs w:val="20"/>
          <w:highlight w:val="none"/>
        </w:rPr>
      </w:pPr>
      <w:r>
        <w:rPr>
          <w:b/>
          <w:szCs w:val="20"/>
          <w:highlight w:val="none"/>
        </w:rPr>
        <w:t>CONTRATO</w:t>
      </w:r>
      <w:r>
        <w:rPr>
          <w:szCs w:val="20"/>
          <w:highlight w:val="none"/>
        </w:rPr>
        <w:t xml:space="preserve"> – Documento, subscrito pela Codevasf e a licitante vencedora do certame, que define as obrigações e direitos de ambas com relação à execução dos serviços.</w:t>
      </w:r>
    </w:p>
    <w:p>
      <w:pPr>
        <w:rPr>
          <w:szCs w:val="20"/>
          <w:highlight w:val="none"/>
        </w:rPr>
      </w:pPr>
    </w:p>
    <w:p>
      <w:pPr>
        <w:rPr>
          <w:szCs w:val="20"/>
          <w:highlight w:val="none"/>
        </w:rPr>
      </w:pPr>
      <w:r>
        <w:rPr>
          <w:b/>
          <w:szCs w:val="20"/>
          <w:highlight w:val="none"/>
        </w:rPr>
        <w:t>CRONOGRAMA FÍSICO-FINANCEIRO</w:t>
      </w:r>
      <w:r>
        <w:rPr>
          <w:szCs w:val="20"/>
          <w:highlight w:val="none"/>
        </w:rPr>
        <w:t xml:space="preserve"> – Representação gráfica da programação parcial ou total de um trabalho ou serviço, no qual são indicadas as suas diversas etapas e respectivos prazos para conclusão, aliados aos custos ou preços.</w:t>
      </w:r>
    </w:p>
    <w:p>
      <w:pPr>
        <w:rPr>
          <w:szCs w:val="20"/>
          <w:highlight w:val="none"/>
        </w:rPr>
      </w:pPr>
    </w:p>
    <w:p>
      <w:pPr>
        <w:rPr>
          <w:szCs w:val="20"/>
          <w:highlight w:val="none"/>
        </w:rPr>
      </w:pPr>
      <w:r>
        <w:rPr>
          <w:b/>
          <w:szCs w:val="20"/>
          <w:highlight w:val="none"/>
        </w:rPr>
        <w:t>DOCUMENTOS COMPLEMENTARES ou SUPLEMENTARES</w:t>
      </w:r>
      <w:r>
        <w:rPr>
          <w:szCs w:val="20"/>
          <w:highlight w:val="none"/>
        </w:rPr>
        <w:t xml:space="preserve"> – Documentos que, por força de condições técnicas imprevisíveis, se fizerem necessários para a complementação ou suplementação dos documentos emitidos no Termo de Referência.</w:t>
      </w:r>
    </w:p>
    <w:p>
      <w:pPr>
        <w:rPr>
          <w:szCs w:val="20"/>
          <w:highlight w:val="none"/>
        </w:rPr>
      </w:pPr>
    </w:p>
    <w:p>
      <w:pPr>
        <w:rPr>
          <w:szCs w:val="20"/>
          <w:highlight w:val="none"/>
        </w:rPr>
      </w:pPr>
      <w:r>
        <w:rPr>
          <w:b/>
          <w:szCs w:val="20"/>
          <w:highlight w:val="none"/>
        </w:rPr>
        <w:t>DOCUMENTOS DE CONTRATO</w:t>
      </w:r>
      <w:r>
        <w:rPr>
          <w:szCs w:val="20"/>
          <w:highlight w:val="none"/>
        </w:rPr>
        <w:t xml:space="preserve"> – Conjunto de todos os documentos que integram o contrato e regulam a execução dos serviços, compreendendo o Edital, Termo de Referência, especificações técnicas, desenhos e proposta financeira da executante, cronogramas e demais documentos complementares que se façam necessários à execução do objeto.</w:t>
      </w:r>
    </w:p>
    <w:p>
      <w:pPr>
        <w:rPr>
          <w:szCs w:val="20"/>
          <w:highlight w:val="none"/>
        </w:rPr>
      </w:pPr>
    </w:p>
    <w:p>
      <w:pPr>
        <w:rPr>
          <w:szCs w:val="20"/>
          <w:highlight w:val="none"/>
        </w:rPr>
      </w:pPr>
      <w:r>
        <w:rPr>
          <w:b/>
          <w:szCs w:val="20"/>
          <w:highlight w:val="none"/>
        </w:rPr>
        <w:t>DIÁRIO DE OBRA</w:t>
      </w:r>
      <w:r>
        <w:rPr>
          <w:szCs w:val="20"/>
          <w:highlight w:val="none"/>
        </w:rPr>
        <w:t xml:space="preserve"> – </w:t>
      </w:r>
      <w:r>
        <w:rPr>
          <w:color w:val="333333"/>
          <w:szCs w:val="20"/>
          <w:highlight w:val="none"/>
        </w:rPr>
        <w:t>É uma espécie de memorial da obra, onde são descritos os acontecimentos mais importantes em um determinado dia: os serviços feitos, os equipamentos utilizados - e por quantas horas -, as condições do clima, etc. Caso necessário, também podem ser descritos os problemas na execução de serviços, falhas nos equipamentos, etc.</w:t>
      </w:r>
    </w:p>
    <w:p>
      <w:pPr>
        <w:rPr>
          <w:szCs w:val="20"/>
          <w:highlight w:val="none"/>
        </w:rPr>
      </w:pPr>
    </w:p>
    <w:p>
      <w:pPr>
        <w:rPr>
          <w:szCs w:val="20"/>
          <w:highlight w:val="none"/>
        </w:rPr>
      </w:pPr>
      <w:r>
        <w:rPr>
          <w:b/>
          <w:szCs w:val="20"/>
          <w:highlight w:val="none"/>
        </w:rPr>
        <w:t>ESPECIFICAÇÃO TÉCNICA</w:t>
      </w:r>
      <w:r>
        <w:rPr>
          <w:szCs w:val="20"/>
          <w:highlight w:val="none"/>
        </w:rPr>
        <w:t xml:space="preserve"> – Documento que descreve, de forma precisa, completa e ordenada, osmateriais e os procedimentos de execução a serem adotados na construção. Têm comofinalidade complementar a parte gráfica do projeto. São partes integrantes das especificações técnicas:</w:t>
      </w:r>
    </w:p>
    <w:p>
      <w:pPr>
        <w:rPr>
          <w:szCs w:val="20"/>
          <w:highlight w:val="none"/>
        </w:rPr>
      </w:pPr>
    </w:p>
    <w:p>
      <w:pPr>
        <w:pStyle w:val="3"/>
        <w:ind w:left="681"/>
        <w:rPr>
          <w:szCs w:val="20"/>
          <w:highlight w:val="none"/>
        </w:rPr>
      </w:pPr>
      <w:r>
        <w:rPr>
          <w:szCs w:val="20"/>
          <w:highlight w:val="none"/>
        </w:rPr>
        <w:t>Generalidades - incluem o objetivo, identificação da obra, regime de execução da obra, fiscalização, recebimento da obra, modificações de projeto, classificação dos serviços (item c). Havendo caderno de encargos, este englobará quase todos estes aspectos.</w:t>
      </w:r>
    </w:p>
    <w:p>
      <w:pPr>
        <w:pStyle w:val="3"/>
        <w:ind w:left="681"/>
        <w:rPr>
          <w:szCs w:val="20"/>
          <w:highlight w:val="none"/>
        </w:rPr>
      </w:pPr>
      <w:r>
        <w:rPr>
          <w:szCs w:val="20"/>
          <w:highlight w:val="none"/>
        </w:rPr>
        <w:t>Especificação dos materiais - pode ser escrito de duas formas: genérica (aplicável a qualquer obra) ou específica (relacionando apenas os materiais a serem usados na obra em questão).</w:t>
      </w:r>
    </w:p>
    <w:p>
      <w:pPr>
        <w:pStyle w:val="3"/>
        <w:ind w:left="681"/>
        <w:rPr>
          <w:szCs w:val="20"/>
          <w:highlight w:val="none"/>
        </w:rPr>
      </w:pPr>
      <w:r>
        <w:rPr>
          <w:szCs w:val="20"/>
          <w:highlight w:val="none"/>
        </w:rPr>
        <w:t>Discriminação dos serviços - especifica como devem ser executados os serviços, indicando traços de argamassa, método de assentamento, forma de corte de peças, etc.</w:t>
      </w:r>
    </w:p>
    <w:p>
      <w:pPr>
        <w:rPr>
          <w:szCs w:val="20"/>
          <w:highlight w:val="none"/>
        </w:rPr>
      </w:pPr>
    </w:p>
    <w:p>
      <w:pPr>
        <w:rPr>
          <w:szCs w:val="20"/>
          <w:highlight w:val="none"/>
        </w:rPr>
      </w:pPr>
      <w:r>
        <w:rPr>
          <w:b/>
          <w:szCs w:val="20"/>
          <w:highlight w:val="none"/>
        </w:rPr>
        <w:t>FISCALIZAÇÃO</w:t>
      </w:r>
      <w:r>
        <w:rPr>
          <w:szCs w:val="20"/>
          <w:highlight w:val="none"/>
        </w:rPr>
        <w:t xml:space="preserve"> – Equipe da Codevasf indicada para exercer em sua representação a fiscalização do contrato.</w:t>
      </w:r>
    </w:p>
    <w:p>
      <w:pPr>
        <w:rPr>
          <w:szCs w:val="20"/>
          <w:highlight w:val="none"/>
        </w:rPr>
      </w:pPr>
    </w:p>
    <w:p>
      <w:pPr>
        <w:rPr>
          <w:szCs w:val="20"/>
          <w:highlight w:val="none"/>
        </w:rPr>
      </w:pPr>
      <w:r>
        <w:rPr>
          <w:b/>
          <w:szCs w:val="20"/>
          <w:highlight w:val="none"/>
        </w:rPr>
        <w:t>LICITANTE</w:t>
      </w:r>
      <w:r>
        <w:rPr>
          <w:szCs w:val="20"/>
          <w:highlight w:val="none"/>
        </w:rPr>
        <w:t xml:space="preserve"> – Empresa habilitada para apresentar proposta.</w:t>
      </w:r>
    </w:p>
    <w:p>
      <w:pPr>
        <w:rPr>
          <w:szCs w:val="20"/>
          <w:highlight w:val="none"/>
        </w:rPr>
      </w:pPr>
    </w:p>
    <w:p>
      <w:pPr>
        <w:rPr>
          <w:szCs w:val="20"/>
          <w:highlight w:val="none"/>
        </w:rPr>
      </w:pPr>
      <w:r>
        <w:rPr>
          <w:b/>
          <w:szCs w:val="20"/>
          <w:highlight w:val="none"/>
        </w:rPr>
        <w:t xml:space="preserve">MATRIZ DE RISCO </w:t>
      </w:r>
      <w:r>
        <w:rPr>
          <w:szCs w:val="20"/>
          <w:highlight w:val="none"/>
        </w:rPr>
        <w:t>– cláusula contratual definidora de riscos e responsabilidades entre as partes e caracterizadora do equilíbrio econômico-financeiro inicial do contrato, em termos de ônus financeiro decorrente de eventos supervenientes à contratação, contendo, no mínimo, as seguintes informações:</w:t>
      </w:r>
    </w:p>
    <w:p>
      <w:pPr>
        <w:rPr>
          <w:szCs w:val="20"/>
          <w:highlight w:val="none"/>
        </w:rPr>
      </w:pPr>
    </w:p>
    <w:p>
      <w:pPr>
        <w:pStyle w:val="3"/>
        <w:numPr>
          <w:ilvl w:val="0"/>
          <w:numId w:val="3"/>
        </w:numPr>
        <w:ind w:left="681" w:hanging="397"/>
        <w:rPr>
          <w:szCs w:val="20"/>
          <w:highlight w:val="none"/>
        </w:rPr>
      </w:pPr>
      <w:r>
        <w:rPr>
          <w:szCs w:val="20"/>
          <w:highlight w:val="none"/>
        </w:rPr>
        <w:t>listagem de possíveis eventos supervenientes à assinatura do contrato, impactantes no equilíbrio econômico-financeiro da avença, e previsão de eventual necessidade de prolação de termo aditivo quando de sua ocorrência;</w:t>
      </w:r>
    </w:p>
    <w:p>
      <w:pPr>
        <w:pStyle w:val="3"/>
        <w:numPr>
          <w:ilvl w:val="0"/>
          <w:numId w:val="3"/>
        </w:numPr>
        <w:ind w:left="681" w:hanging="397"/>
        <w:rPr>
          <w:szCs w:val="20"/>
          <w:highlight w:val="none"/>
        </w:rPr>
      </w:pPr>
      <w:r>
        <w:rPr>
          <w:szCs w:val="20"/>
          <w:highlight w:val="none"/>
        </w:rPr>
        <w:t>estabelecimento preciso das frações do objeto em que haverá liberdade das contratadas para inovar em soluções metodológicas ou tecnológicas, em obrigações de resultado, em termos de modificação das soluções previamente delineadas no anteprojeto ou no projeto básico da licitação;</w:t>
      </w:r>
    </w:p>
    <w:p>
      <w:pPr>
        <w:pStyle w:val="3"/>
        <w:numPr>
          <w:ilvl w:val="0"/>
          <w:numId w:val="3"/>
        </w:numPr>
        <w:ind w:left="681" w:hanging="397"/>
        <w:rPr>
          <w:szCs w:val="20"/>
          <w:highlight w:val="none"/>
        </w:rPr>
      </w:pPr>
      <w:r>
        <w:rPr>
          <w:szCs w:val="20"/>
          <w:highlight w:val="none"/>
        </w:rPr>
        <w:t>estabelecimento preciso das frações do objeto em que não haverá liberdade das contratadas para inovar em soluções metodológicas ou tecnológicas, em obrigações de meio, devendo haver obrigação de identidade entre a execução e a solução pré-definida no anteprojeto ou no projeto básico da licitação.</w:t>
      </w:r>
    </w:p>
    <w:p>
      <w:pPr>
        <w:rPr>
          <w:szCs w:val="20"/>
          <w:highlight w:val="none"/>
        </w:rPr>
      </w:pPr>
    </w:p>
    <w:p>
      <w:pPr>
        <w:rPr>
          <w:szCs w:val="20"/>
          <w:highlight w:val="none"/>
        </w:rPr>
      </w:pPr>
      <w:r>
        <w:rPr>
          <w:b/>
          <w:szCs w:val="20"/>
          <w:highlight w:val="none"/>
        </w:rPr>
        <w:t>NOTA DE EMPENHO</w:t>
      </w:r>
      <w:r>
        <w:rPr>
          <w:szCs w:val="20"/>
          <w:highlight w:val="none"/>
        </w:rPr>
        <w:t>– Documento utilizado para registrar as operações que envolvam despesas orçamentárias, onde é indicado o nome do credor, a especificação e a importância da despesa.</w:t>
      </w:r>
    </w:p>
    <w:p>
      <w:pPr>
        <w:rPr>
          <w:szCs w:val="20"/>
          <w:highlight w:val="none"/>
        </w:rPr>
      </w:pPr>
    </w:p>
    <w:p>
      <w:pPr>
        <w:pStyle w:val="54"/>
        <w:jc w:val="both"/>
        <w:rPr>
          <w:rFonts w:ascii="Arial" w:hAnsi="Arial" w:cs="Arial" w:eastAsiaTheme="minorHAnsi"/>
          <w:color w:val="auto"/>
          <w:sz w:val="20"/>
          <w:szCs w:val="20"/>
          <w:highlight w:val="none"/>
          <w:lang w:eastAsia="en-US"/>
        </w:rPr>
      </w:pPr>
      <w:r>
        <w:rPr>
          <w:rFonts w:ascii="Arial" w:hAnsi="Arial" w:cs="Arial" w:eastAsiaTheme="minorHAnsi"/>
          <w:b/>
          <w:color w:val="auto"/>
          <w:sz w:val="20"/>
          <w:szCs w:val="20"/>
          <w:highlight w:val="none"/>
          <w:lang w:eastAsia="en-US"/>
        </w:rPr>
        <w:t>ORDEM DE SERVIÇO –</w:t>
      </w:r>
      <w:r>
        <w:rPr>
          <w:rFonts w:ascii="Arial" w:hAnsi="Arial" w:cs="Arial" w:eastAsiaTheme="minorHAnsi"/>
          <w:color w:val="auto"/>
          <w:sz w:val="20"/>
          <w:szCs w:val="20"/>
          <w:highlight w:val="none"/>
          <w:lang w:eastAsia="en-US"/>
        </w:rPr>
        <w:t>Documento formal emitido pela Codevasf com as especificações detalhadas do serviço/produto individual (parte do CONTRATO) a ser elaborado pela CONTRATADA, para o qual o faturamento relacionado ao recurso é executado na conclusão.</w:t>
      </w:r>
    </w:p>
    <w:p>
      <w:pPr>
        <w:rPr>
          <w:szCs w:val="20"/>
          <w:highlight w:val="none"/>
        </w:rPr>
      </w:pPr>
    </w:p>
    <w:p>
      <w:pPr>
        <w:rPr>
          <w:szCs w:val="20"/>
          <w:highlight w:val="none"/>
        </w:rPr>
      </w:pPr>
      <w:r>
        <w:rPr>
          <w:b/>
          <w:szCs w:val="20"/>
          <w:highlight w:val="none"/>
        </w:rPr>
        <w:t>OBRAS E SERVIÇOS DE ENGENHARIA</w:t>
      </w:r>
      <w:r>
        <w:rPr>
          <w:szCs w:val="20"/>
          <w:highlight w:val="none"/>
        </w:rPr>
        <w:t xml:space="preserve"> – São todas as atividades relativas à execução das obras civis, de construção, reforma, recuperação ou ampliação de bem imóvel.</w:t>
      </w:r>
    </w:p>
    <w:p>
      <w:pPr>
        <w:rPr>
          <w:szCs w:val="20"/>
          <w:highlight w:val="none"/>
        </w:rPr>
      </w:pPr>
    </w:p>
    <w:p>
      <w:pPr>
        <w:rPr>
          <w:szCs w:val="20"/>
          <w:highlight w:val="none"/>
        </w:rPr>
      </w:pPr>
      <w:r>
        <w:rPr>
          <w:b/>
          <w:szCs w:val="20"/>
          <w:highlight w:val="none"/>
        </w:rPr>
        <w:t>PLANILHA DE CUSTOS DO VALOR DA PROPOSTA DA LICITANTE</w:t>
      </w:r>
      <w:r>
        <w:rPr>
          <w:szCs w:val="20"/>
          <w:highlight w:val="none"/>
        </w:rPr>
        <w:t xml:space="preserve"> – Representa o produto do somatório do preço da Licitante de cada item discriminado, multiplicado pelos respectivos quantitativos, gerando o valor para execução do objeto que se pretende contratar.</w:t>
      </w:r>
    </w:p>
    <w:p>
      <w:pPr>
        <w:rPr>
          <w:szCs w:val="20"/>
          <w:highlight w:val="none"/>
        </w:rPr>
      </w:pPr>
    </w:p>
    <w:p>
      <w:pPr>
        <w:rPr>
          <w:szCs w:val="20"/>
          <w:highlight w:val="none"/>
        </w:rPr>
      </w:pPr>
      <w:r>
        <w:rPr>
          <w:b/>
          <w:szCs w:val="20"/>
          <w:highlight w:val="none"/>
        </w:rPr>
        <w:t>PLANILHA DE CUSTOS DO VALOR DO ORÇAMENTO DE REFERÊNCIA</w:t>
      </w:r>
      <w:r>
        <w:rPr>
          <w:szCs w:val="20"/>
          <w:highlight w:val="none"/>
        </w:rPr>
        <w:t xml:space="preserve"> – Representa o produto do somatório do preço de referência da Codevasf de cada item discriminado, multiplicado pelos respectivos quantitativos, gerando o valor estimado para a reserva orçamentária e o limite para o pagamento do objeto que se pretende contratar.</w:t>
      </w:r>
    </w:p>
    <w:p>
      <w:pPr>
        <w:rPr>
          <w:szCs w:val="20"/>
          <w:highlight w:val="none"/>
        </w:rPr>
      </w:pPr>
    </w:p>
    <w:p>
      <w:pPr>
        <w:rPr>
          <w:szCs w:val="20"/>
          <w:highlight w:val="none"/>
        </w:rPr>
      </w:pPr>
      <w:r>
        <w:rPr>
          <w:b/>
          <w:szCs w:val="20"/>
          <w:highlight w:val="none"/>
        </w:rPr>
        <w:t>PLANO DE TRABALHO</w:t>
      </w:r>
      <w:r>
        <w:rPr>
          <w:szCs w:val="20"/>
          <w:highlight w:val="none"/>
        </w:rPr>
        <w:t xml:space="preserve"> – Documento que descreve a sequência de fases de uma tarefa ou a sequência de tarefas referentes a determinado serviço ou trabalho, indicando, inclusive, o tempo a ser gasto em cada uma.</w:t>
      </w:r>
    </w:p>
    <w:p>
      <w:pPr>
        <w:rPr>
          <w:szCs w:val="20"/>
          <w:highlight w:val="none"/>
        </w:rPr>
      </w:pPr>
    </w:p>
    <w:p>
      <w:pPr>
        <w:rPr>
          <w:szCs w:val="20"/>
          <w:highlight w:val="none"/>
        </w:rPr>
      </w:pPr>
      <w:r>
        <w:rPr>
          <w:b/>
          <w:szCs w:val="20"/>
          <w:highlight w:val="none"/>
        </w:rPr>
        <w:t>PLANO DE CONTROLE AMBIENTAL DA OBRA - PCAO</w:t>
      </w:r>
      <w:r>
        <w:rPr>
          <w:szCs w:val="20"/>
          <w:highlight w:val="none"/>
        </w:rPr>
        <w:t xml:space="preserve"> – consiste numa ferramenta de gerenciamento das atividades corriqueiras, relacionadas à questão ambiental, na fase de construção de obras, de forma a evitar, minimizar e controlar os impactos ambientais relacionados. Esse plano, elaborado por uma equipe especializada em meio ambiente, estabelece diretrizes e procedimentos para a aplicação adequada de medidas ambientais a serem executadas na Área Diretamente Afetada – ADA da obra. Esse plano tem como objetivo geral assegurar, de forma integrada, que as ações ambientais aqui propostas, sejam implantadas, de forma a zelar pela qualidade ambiental da obra.</w:t>
      </w:r>
    </w:p>
    <w:p>
      <w:pPr>
        <w:rPr>
          <w:szCs w:val="20"/>
          <w:highlight w:val="none"/>
        </w:rPr>
      </w:pPr>
    </w:p>
    <w:p>
      <w:pPr>
        <w:rPr>
          <w:rFonts w:eastAsia="Times New Roman"/>
          <w:szCs w:val="20"/>
          <w:highlight w:val="none"/>
          <w:lang w:eastAsia="pt-BR"/>
        </w:rPr>
      </w:pPr>
      <w:r>
        <w:rPr>
          <w:rFonts w:eastAsia="Times New Roman"/>
          <w:szCs w:val="20"/>
          <w:highlight w:val="none"/>
          <w:lang w:eastAsia="pt-BR"/>
        </w:rPr>
        <w:t>Como objetivos específicos:</w:t>
      </w:r>
    </w:p>
    <w:p>
      <w:pPr>
        <w:rPr>
          <w:rFonts w:eastAsia="Times New Roman"/>
          <w:szCs w:val="20"/>
          <w:highlight w:val="none"/>
          <w:lang w:eastAsia="pt-BR"/>
        </w:rPr>
      </w:pPr>
    </w:p>
    <w:p>
      <w:pPr>
        <w:pStyle w:val="3"/>
        <w:numPr>
          <w:ilvl w:val="0"/>
          <w:numId w:val="4"/>
        </w:numPr>
        <w:ind w:left="681" w:hanging="397"/>
        <w:rPr>
          <w:szCs w:val="20"/>
          <w:highlight w:val="none"/>
        </w:rPr>
      </w:pPr>
      <w:r>
        <w:rPr>
          <w:szCs w:val="20"/>
          <w:highlight w:val="none"/>
        </w:rPr>
        <w:t>Executar a obra de forma a evitar, controlar e/ou mitigar os impactos ambientais associados;</w:t>
      </w:r>
    </w:p>
    <w:p>
      <w:pPr>
        <w:pStyle w:val="3"/>
        <w:ind w:left="681"/>
        <w:rPr>
          <w:szCs w:val="20"/>
          <w:highlight w:val="none"/>
        </w:rPr>
      </w:pPr>
      <w:r>
        <w:rPr>
          <w:szCs w:val="20"/>
          <w:highlight w:val="none"/>
        </w:rPr>
        <w:t>Estabelecer diretrizes que zelem pela melhor qualidade ambiental possível da água, solo, ar, fauna e flora;</w:t>
      </w:r>
    </w:p>
    <w:p>
      <w:pPr>
        <w:pStyle w:val="3"/>
        <w:ind w:left="681"/>
        <w:rPr>
          <w:szCs w:val="20"/>
          <w:highlight w:val="none"/>
        </w:rPr>
      </w:pPr>
      <w:r>
        <w:rPr>
          <w:szCs w:val="20"/>
          <w:highlight w:val="none"/>
        </w:rPr>
        <w:t>Executar trabalhos de educação ambiental junto aos operários da obra;</w:t>
      </w:r>
    </w:p>
    <w:p>
      <w:pPr>
        <w:pStyle w:val="3"/>
        <w:ind w:left="681"/>
        <w:rPr>
          <w:szCs w:val="20"/>
          <w:highlight w:val="none"/>
        </w:rPr>
      </w:pPr>
      <w:r>
        <w:rPr>
          <w:szCs w:val="20"/>
          <w:highlight w:val="none"/>
        </w:rPr>
        <w:t>Evitar interferências negativas, das atividades na obra e dos seus colaboradores sobre o meio ambiente.</w:t>
      </w:r>
    </w:p>
    <w:p>
      <w:pPr>
        <w:rPr>
          <w:szCs w:val="20"/>
          <w:highlight w:val="none"/>
        </w:rPr>
      </w:pPr>
    </w:p>
    <w:p>
      <w:pPr>
        <w:rPr>
          <w:szCs w:val="20"/>
          <w:highlight w:val="none"/>
        </w:rPr>
      </w:pPr>
      <w:r>
        <w:rPr>
          <w:b/>
          <w:szCs w:val="20"/>
          <w:highlight w:val="none"/>
        </w:rPr>
        <w:t>PROJETO BÁSICO</w:t>
      </w:r>
      <w:r>
        <w:rPr>
          <w:szCs w:val="20"/>
          <w:highlight w:val="none"/>
        </w:rPr>
        <w:t xml:space="preserve"> – Conjunto de elementos necessários e suficientes, com nível de precisão adequado, para caracterizar a obra ou serviço, ou complexo de obras ou serviços objeto da licitação, elaborado com base nas indicações dos estudos técnicos preliminares, que assegurem a viabilidade técnica e o adequado tratamento do impacto ambiental do empreendimento, e que possibilite a avaliação do custo da obra e a definição dos métodos e do prazo de execução, devendo conter os seguintes elementos:</w:t>
      </w:r>
    </w:p>
    <w:p>
      <w:pPr>
        <w:rPr>
          <w:szCs w:val="20"/>
          <w:highlight w:val="none"/>
        </w:rPr>
      </w:pPr>
    </w:p>
    <w:p>
      <w:pPr>
        <w:pStyle w:val="3"/>
        <w:numPr>
          <w:ilvl w:val="0"/>
          <w:numId w:val="5"/>
        </w:numPr>
        <w:ind w:left="681" w:hanging="397"/>
        <w:rPr>
          <w:szCs w:val="20"/>
          <w:highlight w:val="none"/>
        </w:rPr>
      </w:pPr>
      <w:r>
        <w:rPr>
          <w:szCs w:val="20"/>
          <w:highlight w:val="none"/>
        </w:rPr>
        <w:t>Desenvolvimento da solução escolhida de forma a fornecer visão global da obra e identificar todos os seus elementos constitutivos com clareza;</w:t>
      </w:r>
    </w:p>
    <w:p>
      <w:pPr>
        <w:pStyle w:val="3"/>
        <w:numPr>
          <w:ilvl w:val="0"/>
          <w:numId w:val="5"/>
        </w:numPr>
        <w:ind w:left="681" w:hanging="397"/>
        <w:rPr>
          <w:szCs w:val="20"/>
          <w:highlight w:val="none"/>
        </w:rPr>
      </w:pPr>
      <w:r>
        <w:rPr>
          <w:szCs w:val="20"/>
          <w:highlight w:val="none"/>
        </w:rPr>
        <w:t>Soluções técnicas globais e localizadas, suficientemente detalhadas, de forma a minimizar a necessidade de reformulação ou de variantes durante as fases de elaboração do projeto executivo e de realização das obras e montagem;</w:t>
      </w:r>
    </w:p>
    <w:p>
      <w:pPr>
        <w:pStyle w:val="3"/>
        <w:numPr>
          <w:ilvl w:val="0"/>
          <w:numId w:val="5"/>
        </w:numPr>
        <w:ind w:left="681" w:hanging="397"/>
        <w:rPr>
          <w:szCs w:val="20"/>
          <w:highlight w:val="none"/>
        </w:rPr>
      </w:pPr>
      <w:r>
        <w:rPr>
          <w:szCs w:val="20"/>
          <w:highlight w:val="none"/>
        </w:rPr>
        <w:t>Identificação dos tipos de serviços a executar e de materiais e equipamentos a incorporar à obra, bem como suas especificações que assegurem os melhores resultados para o empreendimento, sem frustrar o caráter competitivo para a sua execução;</w:t>
      </w:r>
    </w:p>
    <w:p>
      <w:pPr>
        <w:pStyle w:val="3"/>
        <w:numPr>
          <w:ilvl w:val="0"/>
          <w:numId w:val="5"/>
        </w:numPr>
        <w:ind w:left="681" w:hanging="397"/>
        <w:rPr>
          <w:szCs w:val="20"/>
          <w:highlight w:val="none"/>
        </w:rPr>
      </w:pPr>
      <w:r>
        <w:rPr>
          <w:szCs w:val="20"/>
          <w:highlight w:val="none"/>
        </w:rPr>
        <w:t>Informações que possibilitem o estudo e a dedução de métodos construtivos, instalações provisórias e condições organizacionais para a obra, sem frustrar o caráter competitivo para a sua execução;</w:t>
      </w:r>
    </w:p>
    <w:p>
      <w:pPr>
        <w:pStyle w:val="3"/>
        <w:numPr>
          <w:ilvl w:val="0"/>
          <w:numId w:val="5"/>
        </w:numPr>
        <w:ind w:left="681" w:hanging="397"/>
        <w:rPr>
          <w:szCs w:val="20"/>
          <w:highlight w:val="none"/>
        </w:rPr>
      </w:pPr>
      <w:r>
        <w:rPr>
          <w:szCs w:val="20"/>
          <w:highlight w:val="none"/>
        </w:rPr>
        <w:t>Subsídios para montagem do plano de licitação e gestão da obra, compreendendo a sua programação, a estratégia de suprimentos, as normas de fiscalização e outros dados necessários em cada caso;</w:t>
      </w:r>
    </w:p>
    <w:p>
      <w:pPr>
        <w:pStyle w:val="3"/>
        <w:numPr>
          <w:ilvl w:val="0"/>
          <w:numId w:val="0"/>
        </w:numPr>
        <w:rPr>
          <w:szCs w:val="20"/>
          <w:highlight w:val="none"/>
        </w:rPr>
      </w:pPr>
    </w:p>
    <w:p>
      <w:pPr>
        <w:rPr>
          <w:bCs/>
          <w:sz w:val="21"/>
          <w:szCs w:val="20"/>
          <w:highlight w:val="none"/>
        </w:rPr>
      </w:pPr>
      <w:r>
        <w:rPr>
          <w:b/>
          <w:sz w:val="21"/>
          <w:szCs w:val="20"/>
          <w:highlight w:val="none"/>
        </w:rPr>
        <w:t xml:space="preserve">PROJETO EXECUTIVO </w:t>
      </w:r>
      <w:r>
        <w:rPr>
          <w:bCs/>
          <w:sz w:val="21"/>
          <w:szCs w:val="20"/>
          <w:highlight w:val="none"/>
        </w:rPr>
        <w:t>– É o conjunto dos elementos necessários e suficientes à execução completa da obra, de acordo com as normas pertinentes da Associação Brasileira de Normas Técnicas – ABNT.</w:t>
      </w:r>
    </w:p>
    <w:p>
      <w:pPr>
        <w:rPr>
          <w:szCs w:val="20"/>
          <w:highlight w:val="none"/>
        </w:rPr>
      </w:pPr>
    </w:p>
    <w:p>
      <w:pPr>
        <w:rPr>
          <w:szCs w:val="20"/>
          <w:highlight w:val="none"/>
        </w:rPr>
      </w:pPr>
      <w:r>
        <w:rPr>
          <w:b/>
          <w:szCs w:val="20"/>
          <w:highlight w:val="none"/>
        </w:rPr>
        <w:t>PROPOSTA FINANCEIRA</w:t>
      </w:r>
      <w:r>
        <w:rPr>
          <w:szCs w:val="20"/>
          <w:highlight w:val="none"/>
        </w:rPr>
        <w:t xml:space="preserve"> – Documento gerado pelo licitante que estabelece os valores unitário e global dos serviços e fornecimentos, apresentando todo o detalhamento dos custos e preços unitários propostos.</w:t>
      </w:r>
    </w:p>
    <w:p>
      <w:pPr>
        <w:rPr>
          <w:szCs w:val="20"/>
          <w:highlight w:val="none"/>
        </w:rPr>
      </w:pPr>
    </w:p>
    <w:p>
      <w:pPr>
        <w:rPr>
          <w:szCs w:val="20"/>
          <w:highlight w:val="none"/>
        </w:rPr>
      </w:pPr>
      <w:r>
        <w:rPr>
          <w:b/>
          <w:szCs w:val="20"/>
          <w:highlight w:val="none"/>
        </w:rPr>
        <w:t>RELATÓRIO DE OBRAS</w:t>
      </w:r>
      <w:r>
        <w:rPr>
          <w:szCs w:val="20"/>
          <w:highlight w:val="none"/>
        </w:rPr>
        <w:t xml:space="preserve"> – Documento a ser emitido pela CONTRATADA mensalmente, com o resumo da situação física e financeira, contendo: cumprimento da programação, ocorrências e recomendações, além de conclusões e projeções a respeito de prazos e custos.</w:t>
      </w:r>
    </w:p>
    <w:p>
      <w:pPr>
        <w:rPr>
          <w:szCs w:val="20"/>
          <w:highlight w:val="none"/>
        </w:rPr>
      </w:pPr>
    </w:p>
    <w:p>
      <w:pPr>
        <w:rPr>
          <w:szCs w:val="20"/>
          <w:highlight w:val="none"/>
        </w:rPr>
      </w:pPr>
      <w:r>
        <w:rPr>
          <w:b/>
          <w:szCs w:val="20"/>
          <w:highlight w:val="none"/>
        </w:rPr>
        <w:t>REUNIÃO DE PARTIDA</w:t>
      </w:r>
      <w:r>
        <w:rPr>
          <w:szCs w:val="20"/>
          <w:highlight w:val="none"/>
        </w:rPr>
        <w:t xml:space="preserve"> – Reunião com as partes envolvidas, CONTRATADA, Codevasf e fornecedores, onde se define todos os detalhes do plano de trabalho e dá-se o “start up” da execução das obras.</w:t>
      </w:r>
    </w:p>
    <w:p>
      <w:pPr>
        <w:rPr>
          <w:szCs w:val="20"/>
          <w:highlight w:val="none"/>
        </w:rPr>
      </w:pPr>
    </w:p>
    <w:p>
      <w:pPr>
        <w:rPr>
          <w:szCs w:val="20"/>
          <w:highlight w:val="none"/>
        </w:rPr>
      </w:pPr>
      <w:r>
        <w:rPr>
          <w:b/>
          <w:szCs w:val="20"/>
          <w:highlight w:val="none"/>
        </w:rPr>
        <w:t>SUPERINTENDÊNCIA REGIONAL</w:t>
      </w:r>
      <w:r>
        <w:rPr>
          <w:szCs w:val="20"/>
          <w:highlight w:val="none"/>
        </w:rPr>
        <w:t xml:space="preserve"> – Unidade executiva descentralizada subordinada diretamente à presidência da Codevasf, situada em Bom Jesus da Lapa/BA, em cuja jurisdição territorial localizam-se os serviços de engenharia objeto deste Termo de Referência.</w:t>
      </w:r>
    </w:p>
    <w:p>
      <w:pPr>
        <w:rPr>
          <w:szCs w:val="20"/>
          <w:highlight w:val="none"/>
        </w:rPr>
      </w:pPr>
    </w:p>
    <w:p>
      <w:pPr>
        <w:ind w:left="567" w:right="567"/>
        <w:rPr>
          <w:szCs w:val="20"/>
          <w:highlight w:val="none"/>
        </w:rPr>
      </w:pPr>
      <w:r>
        <w:rPr>
          <w:b/>
          <w:szCs w:val="20"/>
          <w:highlight w:val="none"/>
        </w:rPr>
        <w:t>2ª SUPERINTENDÊNCIA REGIONAL</w:t>
      </w:r>
      <w:r>
        <w:rPr>
          <w:szCs w:val="20"/>
          <w:highlight w:val="none"/>
        </w:rPr>
        <w:t xml:space="preserve"> – Superintendência Regional da CODEVASF localizada no município de Bom Jesus da Lapa/BA no seguinte endereço:</w:t>
      </w:r>
    </w:p>
    <w:p>
      <w:pPr>
        <w:ind w:left="567" w:right="567"/>
        <w:rPr>
          <w:szCs w:val="20"/>
          <w:highlight w:val="none"/>
        </w:rPr>
      </w:pPr>
      <w:r>
        <w:rPr>
          <w:szCs w:val="20"/>
          <w:highlight w:val="none"/>
        </w:rPr>
        <w:t>Av. Manoel Novaes, s/n - Bairro Centro</w:t>
      </w:r>
    </w:p>
    <w:p>
      <w:pPr>
        <w:ind w:left="567" w:right="567"/>
        <w:rPr>
          <w:szCs w:val="20"/>
          <w:highlight w:val="none"/>
        </w:rPr>
      </w:pPr>
      <w:r>
        <w:rPr>
          <w:szCs w:val="20"/>
          <w:highlight w:val="none"/>
        </w:rPr>
        <w:t>CEP: 47.600-000, Bom Jesus da Lapa – BA</w:t>
      </w:r>
    </w:p>
    <w:p>
      <w:pPr>
        <w:ind w:left="567" w:right="567"/>
        <w:rPr>
          <w:szCs w:val="20"/>
          <w:highlight w:val="none"/>
        </w:rPr>
      </w:pPr>
      <w:r>
        <w:rPr>
          <w:szCs w:val="20"/>
          <w:highlight w:val="none"/>
        </w:rPr>
        <w:t>Fone: (77) 3481-8000/8051</w:t>
      </w:r>
    </w:p>
    <w:p>
      <w:pPr>
        <w:rPr>
          <w:szCs w:val="20"/>
          <w:highlight w:val="none"/>
        </w:rPr>
      </w:pPr>
    </w:p>
    <w:p>
      <w:pPr>
        <w:rPr>
          <w:szCs w:val="20"/>
          <w:highlight w:val="none"/>
        </w:rPr>
      </w:pPr>
      <w:r>
        <w:rPr>
          <w:b/>
          <w:szCs w:val="20"/>
          <w:highlight w:val="none"/>
        </w:rPr>
        <w:t xml:space="preserve">TERMO DE REFERÊNCIA (TR) </w:t>
      </w:r>
      <w:r>
        <w:rPr>
          <w:szCs w:val="20"/>
          <w:highlight w:val="none"/>
        </w:rPr>
        <w:t>– Conjunto de elementos necessários e suficientes, com nível de precisão adequado, para caracterizar os serviços a serem contratados ou os bens a serem fornecidos.</w:t>
      </w:r>
    </w:p>
    <w:p>
      <w:pPr>
        <w:rPr>
          <w:szCs w:val="20"/>
          <w:highlight w:val="none"/>
        </w:rPr>
      </w:pPr>
    </w:p>
    <w:p>
      <w:pPr>
        <w:rPr>
          <w:szCs w:val="20"/>
          <w:highlight w:val="none"/>
        </w:rPr>
      </w:pPr>
    </w:p>
    <w:p>
      <w:pPr>
        <w:pStyle w:val="2"/>
        <w:ind w:left="851" w:hanging="851"/>
        <w:rPr>
          <w:szCs w:val="20"/>
          <w:highlight w:val="none"/>
        </w:rPr>
      </w:pPr>
      <w:bookmarkStart w:id="5" w:name="_Toc18733"/>
      <w:r>
        <w:rPr>
          <w:szCs w:val="20"/>
          <w:highlight w:val="none"/>
        </w:rPr>
        <w:t>FORMA DE REALIZAÇÃO, MODO DE DISPUTA, REGIME DE EXECUÇÃO, VALOR ESTIMADO E CRITÉRIO DE JULGAMENTO</w:t>
      </w:r>
      <w:bookmarkEnd w:id="4"/>
      <w:r>
        <w:rPr>
          <w:szCs w:val="20"/>
          <w:highlight w:val="none"/>
        </w:rPr>
        <w:t>.</w:t>
      </w:r>
      <w:bookmarkEnd w:id="5"/>
    </w:p>
    <w:p>
      <w:pPr>
        <w:rPr>
          <w:szCs w:val="20"/>
          <w:highlight w:val="none"/>
        </w:rPr>
      </w:pPr>
    </w:p>
    <w:p>
      <w:pPr>
        <w:pStyle w:val="4"/>
        <w:ind w:left="851" w:hanging="851"/>
        <w:rPr>
          <w:szCs w:val="20"/>
          <w:highlight w:val="none"/>
        </w:rPr>
      </w:pPr>
      <w:r>
        <w:rPr>
          <w:b/>
          <w:bCs/>
          <w:szCs w:val="20"/>
          <w:highlight w:val="none"/>
        </w:rPr>
        <w:t>Forma de Realização:</w:t>
      </w:r>
      <w:r>
        <w:rPr>
          <w:szCs w:val="20"/>
          <w:highlight w:val="none"/>
        </w:rPr>
        <w:t xml:space="preserve"> Lei das Estatais – Forma Eletrônica.</w:t>
      </w:r>
    </w:p>
    <w:p>
      <w:pPr>
        <w:rPr>
          <w:szCs w:val="20"/>
          <w:highlight w:val="none"/>
        </w:rPr>
      </w:pPr>
    </w:p>
    <w:p>
      <w:pPr>
        <w:pStyle w:val="4"/>
        <w:ind w:left="851" w:hanging="851"/>
        <w:rPr>
          <w:szCs w:val="20"/>
          <w:highlight w:val="none"/>
        </w:rPr>
      </w:pPr>
      <w:r>
        <w:rPr>
          <w:b/>
          <w:bCs/>
          <w:szCs w:val="20"/>
          <w:highlight w:val="none"/>
        </w:rPr>
        <w:t>Modo de Disputa:</w:t>
      </w:r>
      <w:r>
        <w:rPr>
          <w:szCs w:val="20"/>
          <w:highlight w:val="none"/>
        </w:rPr>
        <w:t xml:space="preserve"> Aberto.</w:t>
      </w:r>
    </w:p>
    <w:p>
      <w:pPr>
        <w:rPr>
          <w:szCs w:val="20"/>
          <w:highlight w:val="none"/>
        </w:rPr>
      </w:pPr>
    </w:p>
    <w:p>
      <w:pPr>
        <w:pStyle w:val="4"/>
        <w:ind w:left="851" w:hanging="851"/>
        <w:rPr>
          <w:szCs w:val="20"/>
          <w:highlight w:val="none"/>
        </w:rPr>
      </w:pPr>
      <w:r>
        <w:rPr>
          <w:b/>
          <w:bCs/>
          <w:szCs w:val="20"/>
          <w:highlight w:val="none"/>
        </w:rPr>
        <w:t>Regime de Execução:</w:t>
      </w:r>
      <w:r>
        <w:rPr>
          <w:szCs w:val="20"/>
          <w:highlight w:val="none"/>
        </w:rPr>
        <w:t xml:space="preserve"> Empreitada por Preço Unitário</w:t>
      </w:r>
    </w:p>
    <w:p>
      <w:pPr>
        <w:rPr>
          <w:szCs w:val="20"/>
          <w:highlight w:val="none"/>
        </w:rPr>
      </w:pPr>
    </w:p>
    <w:p>
      <w:pPr>
        <w:pStyle w:val="4"/>
        <w:ind w:left="851" w:hanging="851"/>
        <w:rPr>
          <w:szCs w:val="20"/>
          <w:highlight w:val="none"/>
        </w:rPr>
      </w:pPr>
      <w:r>
        <w:rPr>
          <w:b/>
          <w:bCs/>
          <w:szCs w:val="20"/>
          <w:highlight w:val="none"/>
        </w:rPr>
        <w:t>Valor estimado:</w:t>
      </w:r>
      <w:r>
        <w:rPr>
          <w:szCs w:val="20"/>
          <w:highlight w:val="none"/>
        </w:rPr>
        <w:t xml:space="preserve"> Público.</w:t>
      </w:r>
    </w:p>
    <w:p>
      <w:pPr>
        <w:rPr>
          <w:szCs w:val="20"/>
          <w:highlight w:val="none"/>
        </w:rPr>
      </w:pPr>
    </w:p>
    <w:p>
      <w:pPr>
        <w:pStyle w:val="4"/>
        <w:ind w:left="851" w:hanging="851"/>
        <w:rPr>
          <w:szCs w:val="20"/>
          <w:highlight w:val="none"/>
        </w:rPr>
      </w:pPr>
      <w:r>
        <w:rPr>
          <w:b/>
          <w:bCs/>
          <w:szCs w:val="20"/>
          <w:highlight w:val="none"/>
        </w:rPr>
        <w:t>Critério d</w:t>
      </w:r>
      <w:r>
        <w:rPr>
          <w:b/>
          <w:szCs w:val="20"/>
          <w:highlight w:val="none"/>
        </w:rPr>
        <w:t>e Julgamento</w:t>
      </w:r>
      <w:r>
        <w:rPr>
          <w:b/>
          <w:bCs/>
          <w:szCs w:val="20"/>
          <w:highlight w:val="none"/>
        </w:rPr>
        <w:t>:</w:t>
      </w:r>
      <w:r>
        <w:rPr>
          <w:szCs w:val="20"/>
          <w:highlight w:val="none"/>
        </w:rPr>
        <w:t xml:space="preserve"> Maior Desconto.</w:t>
      </w:r>
    </w:p>
    <w:p>
      <w:pPr>
        <w:rPr>
          <w:highlight w:val="none"/>
          <w:lang w:eastAsia="pt-BR"/>
        </w:rPr>
      </w:pPr>
    </w:p>
    <w:p>
      <w:pPr>
        <w:rPr>
          <w:szCs w:val="20"/>
          <w:highlight w:val="none"/>
          <w:lang w:eastAsia="pt-BR"/>
        </w:rPr>
      </w:pPr>
    </w:p>
    <w:p>
      <w:pPr>
        <w:pStyle w:val="2"/>
        <w:ind w:left="851" w:hanging="851"/>
        <w:rPr>
          <w:szCs w:val="20"/>
          <w:highlight w:val="none"/>
        </w:rPr>
      </w:pPr>
      <w:bookmarkStart w:id="6" w:name="_Toc3981"/>
      <w:r>
        <w:rPr>
          <w:szCs w:val="20"/>
          <w:highlight w:val="none"/>
        </w:rPr>
        <w:t>LOCALIZAÇÃO DO OBJETO</w:t>
      </w:r>
      <w:bookmarkEnd w:id="6"/>
    </w:p>
    <w:p>
      <w:pPr>
        <w:rPr>
          <w:szCs w:val="20"/>
          <w:highlight w:val="none"/>
        </w:rPr>
      </w:pPr>
    </w:p>
    <w:p>
      <w:pPr>
        <w:pStyle w:val="4"/>
        <w:ind w:left="851" w:hanging="851"/>
        <w:rPr>
          <w:szCs w:val="20"/>
          <w:highlight w:val="none"/>
        </w:rPr>
      </w:pPr>
      <w:r>
        <w:rPr>
          <w:szCs w:val="20"/>
          <w:highlight w:val="none"/>
        </w:rPr>
        <w:t>Os serviços</w:t>
      </w:r>
      <w:r>
        <w:rPr>
          <w:rFonts w:hint="default"/>
          <w:szCs w:val="20"/>
          <w:highlight w:val="none"/>
          <w:lang w:val="pt-BR"/>
        </w:rPr>
        <w:t xml:space="preserve"> </w:t>
      </w:r>
      <w:r>
        <w:rPr>
          <w:szCs w:val="20"/>
          <w:highlight w:val="none"/>
        </w:rPr>
        <w:t xml:space="preserve">serão executados na </w:t>
      </w:r>
      <w:r>
        <w:rPr>
          <w:rFonts w:hint="default"/>
          <w:szCs w:val="20"/>
          <w:highlight w:val="none"/>
          <w:lang w:val="pt-BR"/>
        </w:rPr>
        <w:t>comunidade de Barrinha e na Captação, que se situam nas proximidades da ponte Gercino Coelho,</w:t>
      </w:r>
      <w:r>
        <w:rPr>
          <w:szCs w:val="20"/>
          <w:highlight w:val="none"/>
        </w:rPr>
        <w:t xml:space="preserve"> município de Bom Jesus da Lapa/BA, localizado a aproximadamente 780 km da capital do estado da Bahia, na área sob jurisdição da 2ª Superintendência Regional da Codevasf:</w:t>
      </w:r>
    </w:p>
    <w:p>
      <w:pPr>
        <w:rPr>
          <w:highlight w:val="none"/>
        </w:rPr>
      </w:pPr>
    </w:p>
    <w:p>
      <w:pPr>
        <w:jc w:val="center"/>
        <w:rPr>
          <w:highlight w:val="none"/>
        </w:rPr>
      </w:pPr>
      <w:r>
        <w:rPr>
          <w:highlight w:val="none"/>
        </w:rPr>
        <w:drawing>
          <wp:inline distT="0" distB="0" distL="114300" distR="114300">
            <wp:extent cx="4732655" cy="2989580"/>
            <wp:effectExtent l="0" t="0" r="10795" b="1270"/>
            <wp:docPr id="5"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agem 2"/>
                    <pic:cNvPicPr>
                      <a:picLocks noChangeAspect="1"/>
                    </pic:cNvPicPr>
                  </pic:nvPicPr>
                  <pic:blipFill>
                    <a:blip r:embed="rId9"/>
                    <a:srcRect l="-299" t="8122" r="299" b="-437"/>
                    <a:stretch>
                      <a:fillRect/>
                    </a:stretch>
                  </pic:blipFill>
                  <pic:spPr>
                    <a:xfrm>
                      <a:off x="0" y="0"/>
                      <a:ext cx="4732655" cy="2989580"/>
                    </a:xfrm>
                    <a:prstGeom prst="rect">
                      <a:avLst/>
                    </a:prstGeom>
                    <a:noFill/>
                    <a:ln>
                      <a:noFill/>
                    </a:ln>
                  </pic:spPr>
                </pic:pic>
              </a:graphicData>
            </a:graphic>
          </wp:inline>
        </w:drawing>
      </w:r>
    </w:p>
    <w:p>
      <w:pPr>
        <w:pStyle w:val="21"/>
        <w:jc w:val="center"/>
        <w:rPr>
          <w:highlight w:val="none"/>
          <w:lang w:val="pt-BR"/>
        </w:rPr>
      </w:pPr>
      <w:r>
        <w:rPr>
          <w:highlight w:val="none"/>
        </w:rPr>
        <w:t xml:space="preserve">Figura </w:t>
      </w:r>
      <w:r>
        <w:rPr>
          <w:highlight w:val="none"/>
        </w:rPr>
        <w:fldChar w:fldCharType="begin"/>
      </w:r>
      <w:r>
        <w:rPr>
          <w:highlight w:val="none"/>
        </w:rPr>
        <w:instrText xml:space="preserve"> SEQ Figura \* ARABIC </w:instrText>
      </w:r>
      <w:r>
        <w:rPr>
          <w:highlight w:val="none"/>
        </w:rPr>
        <w:fldChar w:fldCharType="separate"/>
      </w:r>
      <w:r>
        <w:rPr>
          <w:highlight w:val="none"/>
        </w:rPr>
        <w:t>1</w:t>
      </w:r>
      <w:r>
        <w:rPr>
          <w:highlight w:val="none"/>
        </w:rPr>
        <w:fldChar w:fldCharType="end"/>
      </w:r>
      <w:r>
        <w:rPr>
          <w:rFonts w:hint="default"/>
          <w:highlight w:val="none"/>
          <w:lang w:val="pt-BR"/>
        </w:rPr>
        <w:t xml:space="preserve"> - </w:t>
      </w:r>
      <w:r>
        <w:rPr>
          <w:highlight w:val="none"/>
          <w:lang w:val="pt-BR"/>
        </w:rPr>
        <w:t>Localização do município de Bom Jesus da Lapa</w:t>
      </w:r>
      <w:r>
        <w:rPr>
          <w:rFonts w:hint="default"/>
          <w:highlight w:val="none"/>
          <w:lang w:val="pt-BR"/>
        </w:rPr>
        <w:t xml:space="preserve"> </w:t>
      </w:r>
      <w:r>
        <w:rPr>
          <w:highlight w:val="none"/>
          <w:lang w:val="pt-BR"/>
        </w:rPr>
        <w:t>-</w:t>
      </w:r>
      <w:r>
        <w:rPr>
          <w:rFonts w:hint="default"/>
          <w:highlight w:val="none"/>
          <w:lang w:val="pt-BR"/>
        </w:rPr>
        <w:t xml:space="preserve"> </w:t>
      </w:r>
      <w:r>
        <w:rPr>
          <w:highlight w:val="none"/>
          <w:lang w:val="pt-BR"/>
        </w:rPr>
        <w:t>BA</w:t>
      </w:r>
    </w:p>
    <w:p>
      <w:pPr>
        <w:rPr>
          <w:rFonts w:hint="default"/>
          <w:highlight w:val="none"/>
          <w:lang w:val="pt-BR"/>
        </w:rPr>
      </w:pPr>
    </w:p>
    <w:p>
      <w:pPr>
        <w:jc w:val="center"/>
        <w:rPr>
          <w:highlight w:val="none"/>
        </w:rPr>
      </w:pPr>
      <w:r>
        <w:rPr>
          <w:highlight w:val="none"/>
        </w:rPr>
        <w:drawing>
          <wp:inline distT="0" distB="0" distL="114300" distR="114300">
            <wp:extent cx="4706620" cy="3381375"/>
            <wp:effectExtent l="9525" t="9525" r="27305" b="19050"/>
            <wp:docPr id="6" name="Imagem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Imagem 3"/>
                    <pic:cNvPicPr>
                      <a:picLocks noChangeAspect="1"/>
                    </pic:cNvPicPr>
                  </pic:nvPicPr>
                  <pic:blipFill>
                    <a:blip r:embed="rId10">
                      <a:lum bright="6000" contrast="18000"/>
                    </a:blip>
                    <a:stretch>
                      <a:fillRect/>
                    </a:stretch>
                  </pic:blipFill>
                  <pic:spPr>
                    <a:xfrm>
                      <a:off x="0" y="0"/>
                      <a:ext cx="4706620" cy="3381375"/>
                    </a:xfrm>
                    <a:prstGeom prst="rect">
                      <a:avLst/>
                    </a:prstGeom>
                    <a:noFill/>
                    <a:ln>
                      <a:solidFill>
                        <a:srgbClr val="0000FF"/>
                      </a:solidFill>
                    </a:ln>
                  </pic:spPr>
                </pic:pic>
              </a:graphicData>
            </a:graphic>
          </wp:inline>
        </w:drawing>
      </w:r>
    </w:p>
    <w:p>
      <w:pPr>
        <w:pStyle w:val="21"/>
        <w:jc w:val="center"/>
        <w:rPr>
          <w:rFonts w:hint="default"/>
          <w:highlight w:val="none"/>
          <w:lang w:val="pt-BR" w:eastAsia="pt-BR"/>
        </w:rPr>
      </w:pPr>
      <w:r>
        <w:rPr>
          <w:highlight w:val="none"/>
        </w:rPr>
        <w:t xml:space="preserve">Figura </w:t>
      </w:r>
      <w:r>
        <w:rPr>
          <w:highlight w:val="none"/>
        </w:rPr>
        <w:fldChar w:fldCharType="begin"/>
      </w:r>
      <w:r>
        <w:rPr>
          <w:highlight w:val="none"/>
        </w:rPr>
        <w:instrText xml:space="preserve"> SEQ Figura \* ARABIC </w:instrText>
      </w:r>
      <w:r>
        <w:rPr>
          <w:highlight w:val="none"/>
        </w:rPr>
        <w:fldChar w:fldCharType="separate"/>
      </w:r>
      <w:r>
        <w:rPr>
          <w:highlight w:val="none"/>
        </w:rPr>
        <w:t>2</w:t>
      </w:r>
      <w:r>
        <w:rPr>
          <w:highlight w:val="none"/>
        </w:rPr>
        <w:fldChar w:fldCharType="end"/>
      </w:r>
      <w:r>
        <w:rPr>
          <w:highlight w:val="none"/>
          <w:lang w:val="pt-BR"/>
        </w:rPr>
        <w:t xml:space="preserve"> - Localização da </w:t>
      </w:r>
      <w:r>
        <w:rPr>
          <w:rFonts w:hint="default"/>
          <w:highlight w:val="none"/>
          <w:lang w:val="pt-BR"/>
        </w:rPr>
        <w:t>C</w:t>
      </w:r>
      <w:r>
        <w:rPr>
          <w:highlight w:val="none"/>
          <w:lang w:val="pt-BR"/>
        </w:rPr>
        <w:t>omunidade de Barrinha e da Captação</w:t>
      </w:r>
    </w:p>
    <w:p>
      <w:pPr>
        <w:jc w:val="center"/>
        <w:rPr>
          <w:szCs w:val="20"/>
          <w:highlight w:val="none"/>
          <w:lang w:eastAsia="pt-BR"/>
        </w:rPr>
      </w:pPr>
    </w:p>
    <w:p>
      <w:pPr>
        <w:rPr>
          <w:color w:val="0070C0"/>
          <w:szCs w:val="20"/>
          <w:highlight w:val="none"/>
        </w:rPr>
      </w:pPr>
    </w:p>
    <w:p>
      <w:pPr>
        <w:pStyle w:val="2"/>
        <w:ind w:left="851" w:hanging="851"/>
        <w:rPr>
          <w:szCs w:val="20"/>
          <w:highlight w:val="none"/>
        </w:rPr>
      </w:pPr>
      <w:bookmarkStart w:id="7" w:name="_Toc31781"/>
      <w:r>
        <w:rPr>
          <w:szCs w:val="20"/>
          <w:highlight w:val="none"/>
        </w:rPr>
        <w:t>DESCRIÇÃO DOS SERVIÇOS</w:t>
      </w:r>
      <w:bookmarkEnd w:id="7"/>
    </w:p>
    <w:p>
      <w:pPr>
        <w:rPr>
          <w:szCs w:val="20"/>
          <w:highlight w:val="none"/>
        </w:rPr>
      </w:pPr>
    </w:p>
    <w:p>
      <w:pPr>
        <w:pStyle w:val="4"/>
        <w:ind w:left="851" w:hanging="851"/>
        <w:rPr>
          <w:szCs w:val="20"/>
          <w:highlight w:val="none"/>
        </w:rPr>
      </w:pPr>
      <w:r>
        <w:rPr>
          <w:szCs w:val="20"/>
          <w:highlight w:val="none"/>
        </w:rPr>
        <w:t>As obras e serviços de engenharia objeto desta licitação encontram-se descritos e caracterizados no Projeto Básico, Desenhos e Especificações Técnicas e quantificados na Planilha de Custos do Valor do Orçamento de Referência, que integram este Termo de Referência (</w:t>
      </w:r>
      <w:r>
        <w:rPr>
          <w:szCs w:val="20"/>
          <w:highlight w:val="none"/>
        </w:rPr>
        <w:fldChar w:fldCharType="begin"/>
      </w:r>
      <w:r>
        <w:rPr>
          <w:szCs w:val="20"/>
          <w:highlight w:val="none"/>
        </w:rPr>
        <w:instrText xml:space="preserve"> REF _Ref450205759 \h </w:instrText>
      </w:r>
      <w:r>
        <w:rPr>
          <w:szCs w:val="20"/>
          <w:highlight w:val="none"/>
        </w:rPr>
        <w:fldChar w:fldCharType="separate"/>
      </w:r>
      <w:r>
        <w:rPr>
          <w:szCs w:val="20"/>
          <w:highlight w:val="none"/>
        </w:rPr>
        <w:t>Anexo V</w:t>
      </w:r>
      <w:r>
        <w:rPr>
          <w:szCs w:val="20"/>
          <w:highlight w:val="none"/>
        </w:rPr>
        <w:fldChar w:fldCharType="end"/>
      </w:r>
      <w:r>
        <w:rPr>
          <w:szCs w:val="20"/>
          <w:highlight w:val="none"/>
        </w:rPr>
        <w:t xml:space="preserve"> e </w:t>
      </w:r>
      <w:r>
        <w:rPr>
          <w:szCs w:val="20"/>
          <w:highlight w:val="none"/>
        </w:rPr>
        <w:fldChar w:fldCharType="begin"/>
      </w:r>
      <w:r>
        <w:rPr>
          <w:szCs w:val="20"/>
          <w:highlight w:val="none"/>
        </w:rPr>
        <w:instrText xml:space="preserve"> REF _Ref78987220 \h </w:instrText>
      </w:r>
      <w:r>
        <w:rPr>
          <w:szCs w:val="20"/>
          <w:highlight w:val="none"/>
        </w:rPr>
        <w:fldChar w:fldCharType="separate"/>
      </w:r>
      <w:r>
        <w:rPr>
          <w:szCs w:val="20"/>
          <w:highlight w:val="none"/>
        </w:rPr>
        <w:t>Anexo III</w:t>
      </w:r>
      <w:r>
        <w:rPr>
          <w:szCs w:val="20"/>
          <w:highlight w:val="none"/>
        </w:rPr>
        <w:fldChar w:fldCharType="end"/>
      </w:r>
      <w:r>
        <w:rPr>
          <w:szCs w:val="20"/>
          <w:highlight w:val="none"/>
        </w:rPr>
        <w:t>).</w:t>
      </w:r>
    </w:p>
    <w:p>
      <w:pPr>
        <w:rPr>
          <w:szCs w:val="20"/>
          <w:highlight w:val="none"/>
        </w:rPr>
      </w:pPr>
    </w:p>
    <w:p>
      <w:pPr>
        <w:pStyle w:val="4"/>
        <w:ind w:left="851" w:hanging="851"/>
        <w:rPr>
          <w:szCs w:val="20"/>
          <w:highlight w:val="none"/>
        </w:rPr>
      </w:pPr>
      <w:r>
        <w:rPr>
          <w:szCs w:val="20"/>
          <w:highlight w:val="none"/>
        </w:rPr>
        <w:t>O objeto do presente certame licitatório compreende basicamente os seguintes serviços:</w:t>
      </w:r>
    </w:p>
    <w:p>
      <w:pPr>
        <w:rPr>
          <w:szCs w:val="20"/>
          <w:highlight w:val="none"/>
        </w:rPr>
      </w:pPr>
    </w:p>
    <w:p>
      <w:pPr>
        <w:pStyle w:val="3"/>
        <w:numPr>
          <w:ilvl w:val="0"/>
          <w:numId w:val="6"/>
        </w:numPr>
        <w:rPr>
          <w:szCs w:val="20"/>
          <w:highlight w:val="none"/>
        </w:rPr>
      </w:pPr>
      <w:r>
        <w:rPr>
          <w:szCs w:val="20"/>
          <w:highlight w:val="none"/>
        </w:rPr>
        <w:t>Instalações Preliminares e Canteiro de Obras;</w:t>
      </w:r>
    </w:p>
    <w:p>
      <w:pPr>
        <w:pStyle w:val="3"/>
        <w:numPr>
          <w:ilvl w:val="0"/>
          <w:numId w:val="6"/>
        </w:numPr>
        <w:rPr>
          <w:szCs w:val="20"/>
          <w:highlight w:val="none"/>
        </w:rPr>
      </w:pPr>
      <w:r>
        <w:rPr>
          <w:rFonts w:hint="default"/>
          <w:szCs w:val="20"/>
          <w:highlight w:val="none"/>
          <w:lang w:val="pt-BR"/>
        </w:rPr>
        <w:t>Estação elevatória de água tratada;</w:t>
      </w:r>
    </w:p>
    <w:p>
      <w:pPr>
        <w:pStyle w:val="3"/>
        <w:numPr>
          <w:ilvl w:val="0"/>
          <w:numId w:val="6"/>
        </w:numPr>
        <w:rPr>
          <w:rFonts w:hint="default"/>
          <w:szCs w:val="20"/>
          <w:highlight w:val="none"/>
          <w:lang w:val="pt-BR"/>
        </w:rPr>
      </w:pPr>
      <w:r>
        <w:rPr>
          <w:szCs w:val="20"/>
          <w:highlight w:val="none"/>
        </w:rPr>
        <w:t xml:space="preserve">Adutora de Água </w:t>
      </w:r>
      <w:r>
        <w:rPr>
          <w:rFonts w:hint="default"/>
          <w:szCs w:val="20"/>
          <w:highlight w:val="none"/>
          <w:lang w:val="pt-BR"/>
        </w:rPr>
        <w:t>Tratada</w:t>
      </w:r>
      <w:r>
        <w:rPr>
          <w:szCs w:val="20"/>
          <w:highlight w:val="none"/>
        </w:rPr>
        <w:t>;</w:t>
      </w:r>
    </w:p>
    <w:p>
      <w:pPr>
        <w:pStyle w:val="3"/>
        <w:numPr>
          <w:ilvl w:val="0"/>
          <w:numId w:val="6"/>
        </w:numPr>
        <w:rPr>
          <w:rFonts w:hint="default"/>
          <w:szCs w:val="20"/>
          <w:highlight w:val="none"/>
          <w:lang w:val="pt-BR"/>
        </w:rPr>
      </w:pPr>
      <w:r>
        <w:rPr>
          <w:rFonts w:hint="default"/>
          <w:szCs w:val="20"/>
          <w:highlight w:val="none"/>
          <w:lang w:val="pt-BR"/>
        </w:rPr>
        <w:t>Rede de distribuição de água;</w:t>
      </w:r>
    </w:p>
    <w:p>
      <w:pPr>
        <w:pStyle w:val="3"/>
        <w:numPr>
          <w:ilvl w:val="0"/>
          <w:numId w:val="6"/>
        </w:numPr>
        <w:rPr>
          <w:rFonts w:hint="default"/>
          <w:szCs w:val="20"/>
          <w:highlight w:val="none"/>
          <w:lang w:val="pt-BR"/>
        </w:rPr>
      </w:pPr>
      <w:r>
        <w:rPr>
          <w:rFonts w:hint="default"/>
          <w:szCs w:val="20"/>
          <w:highlight w:val="none"/>
          <w:lang w:val="pt-BR"/>
        </w:rPr>
        <w:t>Reservatório elevado 30m³.</w:t>
      </w:r>
    </w:p>
    <w:p>
      <w:pPr>
        <w:pStyle w:val="3"/>
        <w:numPr>
          <w:ilvl w:val="0"/>
          <w:numId w:val="0"/>
        </w:numPr>
        <w:ind w:left="851" w:leftChars="0"/>
        <w:rPr>
          <w:rFonts w:hint="default"/>
          <w:szCs w:val="20"/>
          <w:highlight w:val="none"/>
          <w:lang w:val="pt-BR"/>
        </w:rPr>
      </w:pPr>
    </w:p>
    <w:p>
      <w:pPr>
        <w:pStyle w:val="2"/>
        <w:ind w:left="851" w:hanging="851"/>
        <w:rPr>
          <w:szCs w:val="20"/>
          <w:highlight w:val="none"/>
        </w:rPr>
      </w:pPr>
      <w:bookmarkStart w:id="8" w:name="_Toc11622"/>
      <w:r>
        <w:rPr>
          <w:szCs w:val="20"/>
          <w:highlight w:val="none"/>
        </w:rPr>
        <w:t>CONDIÇÕES DE PARTICIPAÇÃO</w:t>
      </w:r>
      <w:bookmarkEnd w:id="8"/>
    </w:p>
    <w:p>
      <w:pPr>
        <w:rPr>
          <w:szCs w:val="20"/>
          <w:highlight w:val="none"/>
        </w:rPr>
      </w:pPr>
    </w:p>
    <w:p>
      <w:pPr>
        <w:pStyle w:val="4"/>
        <w:ind w:left="851" w:hanging="851"/>
        <w:rPr>
          <w:szCs w:val="20"/>
          <w:highlight w:val="none"/>
        </w:rPr>
      </w:pPr>
      <w:bookmarkStart w:id="9" w:name="_Ref449450707"/>
      <w:r>
        <w:rPr>
          <w:szCs w:val="20"/>
          <w:highlight w:val="none"/>
        </w:rPr>
        <w:t>Poderão participar da presente licitação empresas do ramo, pertinente e compatível com o objeto desta licitação, nacionais ou estrangeiras, individuais, que atendam as exigências do TR e seus anexos.</w:t>
      </w:r>
    </w:p>
    <w:p>
      <w:pPr>
        <w:rPr>
          <w:szCs w:val="20"/>
          <w:highlight w:val="none"/>
        </w:rPr>
      </w:pPr>
    </w:p>
    <w:p>
      <w:pPr>
        <w:pStyle w:val="5"/>
        <w:numPr>
          <w:ilvl w:val="2"/>
          <w:numId w:val="7"/>
        </w:numPr>
        <w:tabs>
          <w:tab w:val="left" w:pos="800"/>
          <w:tab w:val="clear" w:pos="708"/>
        </w:tabs>
        <w:ind w:left="1000" w:hanging="1000"/>
        <w:rPr>
          <w:highlight w:val="none"/>
        </w:rPr>
      </w:pPr>
      <w:r>
        <w:rPr>
          <w:highlight w:val="none"/>
        </w:rPr>
        <w:t>As Empresas estrangeiras poderão participar nas mesmas condições das empresas nacionais.</w:t>
      </w:r>
    </w:p>
    <w:p>
      <w:pPr>
        <w:rPr>
          <w:szCs w:val="20"/>
          <w:highlight w:val="none"/>
        </w:rPr>
      </w:pPr>
    </w:p>
    <w:bookmarkEnd w:id="9"/>
    <w:p>
      <w:pPr>
        <w:pStyle w:val="4"/>
        <w:ind w:left="851" w:hanging="851"/>
        <w:rPr>
          <w:sz w:val="21"/>
          <w:szCs w:val="20"/>
          <w:highlight w:val="none"/>
        </w:rPr>
      </w:pPr>
      <w:bookmarkStart w:id="10" w:name="_Ref441152334"/>
      <w:r>
        <w:rPr>
          <w:sz w:val="21"/>
          <w:szCs w:val="20"/>
          <w:highlight w:val="none"/>
        </w:rPr>
        <w:t>CONSÓRCIO</w:t>
      </w:r>
    </w:p>
    <w:p>
      <w:pPr>
        <w:rPr>
          <w:highlight w:val="none"/>
          <w:lang w:eastAsia="pt-BR"/>
        </w:rPr>
      </w:pPr>
    </w:p>
    <w:p>
      <w:pPr>
        <w:pStyle w:val="5"/>
        <w:ind w:left="800" w:hanging="800"/>
        <w:rPr>
          <w:highlight w:val="none"/>
        </w:rPr>
      </w:pPr>
      <w:r>
        <w:rPr>
          <w:highlight w:val="none"/>
        </w:rPr>
        <w:t xml:space="preserve">Não será permitida a participação de consórcio. </w:t>
      </w:r>
    </w:p>
    <w:p>
      <w:pPr>
        <w:rPr>
          <w:szCs w:val="20"/>
          <w:highlight w:val="none"/>
          <w:lang w:eastAsia="pt-BR"/>
        </w:rPr>
      </w:pPr>
    </w:p>
    <w:p>
      <w:pPr>
        <w:pStyle w:val="4"/>
        <w:ind w:left="851" w:hanging="851"/>
        <w:rPr>
          <w:szCs w:val="20"/>
          <w:highlight w:val="none"/>
        </w:rPr>
      </w:pPr>
      <w:bookmarkStart w:id="11" w:name="_Ref455652949"/>
      <w:r>
        <w:rPr>
          <w:szCs w:val="20"/>
          <w:highlight w:val="none"/>
        </w:rPr>
        <w:t>SUBCONTRATAÇÃO</w:t>
      </w:r>
      <w:bookmarkEnd w:id="10"/>
      <w:bookmarkEnd w:id="11"/>
    </w:p>
    <w:p>
      <w:pPr>
        <w:rPr>
          <w:szCs w:val="20"/>
          <w:highlight w:val="none"/>
        </w:rPr>
      </w:pPr>
    </w:p>
    <w:p>
      <w:pPr>
        <w:pStyle w:val="5"/>
        <w:ind w:left="800" w:hanging="800"/>
        <w:rPr>
          <w:highlight w:val="none"/>
        </w:rPr>
      </w:pPr>
      <w:r>
        <w:rPr>
          <w:highlight w:val="none"/>
        </w:rPr>
        <w:t>Será permitida a subcontratação dos seguintes serviços objeto deste TR, com anuência prévia da Codevasf</w:t>
      </w:r>
      <w:r>
        <w:rPr>
          <w:rFonts w:hint="default"/>
          <w:highlight w:val="none"/>
          <w:lang w:val="pt-BR"/>
        </w:rPr>
        <w:t>, até o percentual de 15% do valor total orçado</w:t>
      </w:r>
      <w:r>
        <w:rPr>
          <w:highlight w:val="none"/>
        </w:rPr>
        <w:t xml:space="preserve">: </w:t>
      </w:r>
      <w:r>
        <w:rPr>
          <w:rFonts w:hint="default"/>
          <w:highlight w:val="none"/>
          <w:lang w:val="pt-BR"/>
        </w:rPr>
        <w:t xml:space="preserve">elaboração de projetos executivos, </w:t>
      </w:r>
      <w:r>
        <w:rPr>
          <w:highlight w:val="none"/>
        </w:rPr>
        <w:t>serviços topográficos e geotécnicos, serviços de fundação, serviços ambientais, serviços de elétrica, automação e extensão de rede de energia</w:t>
      </w:r>
      <w:r>
        <w:rPr>
          <w:rFonts w:hint="default"/>
          <w:highlight w:val="none"/>
          <w:lang w:val="pt-BR"/>
        </w:rPr>
        <w:t>.</w:t>
      </w:r>
    </w:p>
    <w:p>
      <w:pPr>
        <w:rPr>
          <w:szCs w:val="20"/>
          <w:highlight w:val="none"/>
        </w:rPr>
      </w:pPr>
    </w:p>
    <w:p>
      <w:pPr>
        <w:pStyle w:val="4"/>
        <w:ind w:left="851" w:hanging="851"/>
        <w:rPr>
          <w:sz w:val="21"/>
          <w:szCs w:val="20"/>
          <w:highlight w:val="none"/>
        </w:rPr>
      </w:pPr>
      <w:r>
        <w:rPr>
          <w:sz w:val="21"/>
          <w:szCs w:val="20"/>
          <w:highlight w:val="none"/>
        </w:rPr>
        <w:t>PARTICIPAÇÃO DE MICROEMPRESA, EMPRESA DE PEQUENO PORTE</w:t>
      </w:r>
    </w:p>
    <w:p>
      <w:pPr>
        <w:rPr>
          <w:b/>
          <w:szCs w:val="20"/>
          <w:highlight w:val="none"/>
        </w:rPr>
      </w:pPr>
    </w:p>
    <w:p>
      <w:pPr>
        <w:pStyle w:val="5"/>
        <w:ind w:left="800" w:hanging="800"/>
        <w:rPr>
          <w:highlight w:val="none"/>
        </w:rPr>
      </w:pPr>
      <w:r>
        <w:rPr>
          <w:highlight w:val="none"/>
        </w:rPr>
        <w:t>As Microempresas e Empresas de Pequeno Porte, poderão participar desta licitação em condições diferenciadas, na forma prescrita na Lei Complementar nº 123, de 14 de dezembro de 2006 e Decreto 8.538 de 6/10/2015.</w:t>
      </w:r>
    </w:p>
    <w:p>
      <w:pPr>
        <w:rPr>
          <w:szCs w:val="20"/>
          <w:highlight w:val="none"/>
        </w:rPr>
      </w:pPr>
    </w:p>
    <w:p>
      <w:pPr>
        <w:pStyle w:val="2"/>
        <w:ind w:left="851" w:hanging="851"/>
        <w:rPr>
          <w:szCs w:val="20"/>
          <w:highlight w:val="none"/>
        </w:rPr>
      </w:pPr>
      <w:bookmarkStart w:id="12" w:name="_Toc20983"/>
      <w:r>
        <w:rPr>
          <w:szCs w:val="20"/>
          <w:highlight w:val="none"/>
        </w:rPr>
        <w:t>VISITA AO LOCAL DAS OBRAS</w:t>
      </w:r>
      <w:bookmarkEnd w:id="12"/>
    </w:p>
    <w:p>
      <w:pPr>
        <w:rPr>
          <w:szCs w:val="20"/>
          <w:highlight w:val="none"/>
        </w:rPr>
      </w:pPr>
    </w:p>
    <w:p>
      <w:pPr>
        <w:pStyle w:val="4"/>
        <w:ind w:left="851" w:hanging="851"/>
        <w:rPr>
          <w:szCs w:val="20"/>
          <w:highlight w:val="none"/>
        </w:rPr>
      </w:pPr>
      <w:r>
        <w:rPr>
          <w:szCs w:val="20"/>
          <w:highlight w:val="none"/>
        </w:rPr>
        <w:t xml:space="preserve">A visita aos locais de prestação dos serviços </w:t>
      </w:r>
      <w:r>
        <w:rPr>
          <w:b/>
          <w:szCs w:val="20"/>
          <w:highlight w:val="none"/>
          <w:u w:val="single"/>
        </w:rPr>
        <w:t>NÃO será obrigatória</w:t>
      </w:r>
      <w:r>
        <w:rPr>
          <w:szCs w:val="20"/>
          <w:highlight w:val="none"/>
        </w:rPr>
        <w:t>, porém, recomenda-se às licitantes que seja realizada a visita aos locais onde serão executados os serviços e suas circunvizinhanças, por intermédio de pelo menos um engenheiro civil, indicado pela licitante, ou de seu representante legal ou responsável técnico, para tomar pleno conhecimento das condições e peculiaridades inerentes à natureza dos trabalhos a serem executados, avaliando os problemas futuros de modo que os custos propostos cubram quaisquer dificuldades decorrentes de sua execução, e obter, sob sua exclusiva responsabilidade, todas as informações que possam ser necessárias para a elaboração da proposta e execução do contrato.</w:t>
      </w:r>
    </w:p>
    <w:p>
      <w:pPr>
        <w:rPr>
          <w:szCs w:val="20"/>
          <w:highlight w:val="none"/>
        </w:rPr>
      </w:pPr>
    </w:p>
    <w:p>
      <w:pPr>
        <w:pStyle w:val="5"/>
        <w:ind w:left="802" w:hanging="802" w:hangingChars="401"/>
        <w:rPr>
          <w:highlight w:val="none"/>
        </w:rPr>
      </w:pPr>
      <w:r>
        <w:rPr>
          <w:highlight w:val="none"/>
        </w:rPr>
        <w:t xml:space="preserve">É de inteira </w:t>
      </w:r>
      <w:r>
        <w:rPr>
          <w:color w:val="000000"/>
          <w:highlight w:val="none"/>
        </w:rPr>
        <w:t>responsabilidade</w:t>
      </w:r>
      <w:r>
        <w:rPr>
          <w:highlight w:val="none"/>
        </w:rPr>
        <w:t xml:space="preserve"> da licitante a verificação "in loco" das dificuldades e dimensionamento dos dados necessários à apresentação da Proposta. A não verificação dessas dificuldades não poderá ser avocada no desenrolar dos trabalhos como fonte de alteração dos termos contratuais estabelecidos.</w:t>
      </w:r>
    </w:p>
    <w:p>
      <w:pPr>
        <w:ind w:left="802" w:hanging="802" w:hangingChars="401"/>
        <w:rPr>
          <w:szCs w:val="20"/>
          <w:highlight w:val="none"/>
          <w:lang w:eastAsia="pt-BR"/>
        </w:rPr>
      </w:pPr>
    </w:p>
    <w:p>
      <w:pPr>
        <w:pStyle w:val="5"/>
        <w:ind w:left="802" w:hanging="802" w:hangingChars="401"/>
        <w:rPr>
          <w:highlight w:val="none"/>
        </w:rPr>
      </w:pPr>
      <w:bookmarkStart w:id="13" w:name="_Ref78987628"/>
      <w:r>
        <w:rPr>
          <w:highlight w:val="none"/>
        </w:rPr>
        <w:t xml:space="preserve">A declaração de que conhece o local onde serão executados os serviços e suas circunvizinhanças será obrigatoriamente emitida pela empresa licitante (Modelo de Declaração – </w:t>
      </w:r>
      <w:r>
        <w:rPr>
          <w:highlight w:val="none"/>
        </w:rPr>
        <w:fldChar w:fldCharType="begin"/>
      </w:r>
      <w:r>
        <w:rPr>
          <w:highlight w:val="none"/>
        </w:rPr>
        <w:instrText xml:space="preserve"> REF _Ref450205804 \h  \* MERGEFORMAT </w:instrText>
      </w:r>
      <w:r>
        <w:rPr>
          <w:highlight w:val="none"/>
        </w:rPr>
        <w:fldChar w:fldCharType="separate"/>
      </w:r>
      <w:r>
        <w:rPr>
          <w:highlight w:val="none"/>
        </w:rPr>
        <w:t>Anexo II</w:t>
      </w:r>
      <w:r>
        <w:rPr>
          <w:highlight w:val="none"/>
        </w:rPr>
        <w:fldChar w:fldCharType="end"/>
      </w:r>
      <w:r>
        <w:rPr>
          <w:highlight w:val="none"/>
        </w:rPr>
        <w:t xml:space="preserve"> deste TR), através dos seus prepostos.</w:t>
      </w:r>
      <w:bookmarkEnd w:id="13"/>
    </w:p>
    <w:p>
      <w:pPr>
        <w:pStyle w:val="4"/>
        <w:numPr>
          <w:ilvl w:val="0"/>
          <w:numId w:val="0"/>
        </w:numPr>
        <w:rPr>
          <w:szCs w:val="20"/>
          <w:highlight w:val="none"/>
        </w:rPr>
      </w:pPr>
    </w:p>
    <w:p>
      <w:pPr>
        <w:pStyle w:val="4"/>
        <w:ind w:left="851" w:hanging="851"/>
        <w:rPr>
          <w:szCs w:val="20"/>
          <w:highlight w:val="none"/>
        </w:rPr>
      </w:pPr>
      <w:r>
        <w:rPr>
          <w:szCs w:val="20"/>
          <w:highlight w:val="none"/>
        </w:rPr>
        <w:t>Os custos de visita aos locais das obras e serviços de engenharia correrão por exclusiva conta da licitante.</w:t>
      </w:r>
    </w:p>
    <w:p>
      <w:pPr>
        <w:rPr>
          <w:szCs w:val="20"/>
          <w:highlight w:val="none"/>
        </w:rPr>
      </w:pPr>
    </w:p>
    <w:p>
      <w:pPr>
        <w:pStyle w:val="4"/>
        <w:ind w:left="851" w:hanging="851"/>
        <w:rPr>
          <w:szCs w:val="20"/>
          <w:highlight w:val="none"/>
        </w:rPr>
      </w:pPr>
      <w:r>
        <w:rPr>
          <w:szCs w:val="20"/>
          <w:highlight w:val="none"/>
        </w:rPr>
        <w:t>Em caso de dúvidas sobre a visita ao local onde serão executadas as obras e serviços de engenharia, as licitantes deverão contactar a Gerência Regional de Revitalização da Codevasf, em Bom Jesus da Lapa, no estado da Bahia, por meio do telefone (77) 3481-8051.</w:t>
      </w:r>
    </w:p>
    <w:p>
      <w:pPr>
        <w:rPr>
          <w:highlight w:val="none"/>
          <w:lang w:eastAsia="pt-BR"/>
        </w:rPr>
      </w:pPr>
    </w:p>
    <w:p>
      <w:pPr>
        <w:pStyle w:val="2"/>
        <w:ind w:left="851" w:hanging="851"/>
        <w:rPr>
          <w:szCs w:val="20"/>
          <w:highlight w:val="none"/>
        </w:rPr>
      </w:pPr>
      <w:bookmarkStart w:id="14" w:name="_Toc8947"/>
      <w:r>
        <w:rPr>
          <w:szCs w:val="20"/>
          <w:highlight w:val="none"/>
        </w:rPr>
        <w:t>PROPOSTA FINANCEIRA</w:t>
      </w:r>
      <w:bookmarkEnd w:id="14"/>
    </w:p>
    <w:p>
      <w:pPr>
        <w:rPr>
          <w:szCs w:val="20"/>
          <w:highlight w:val="none"/>
        </w:rPr>
      </w:pPr>
    </w:p>
    <w:p>
      <w:pPr>
        <w:pStyle w:val="4"/>
        <w:ind w:left="851" w:hanging="851"/>
        <w:rPr>
          <w:szCs w:val="20"/>
          <w:highlight w:val="none"/>
        </w:rPr>
      </w:pPr>
      <w:r>
        <w:rPr>
          <w:szCs w:val="20"/>
          <w:highlight w:val="none"/>
        </w:rPr>
        <w:t>A Proposta Financeira deverá ser firme e precisa, limitada rigorosamente ao objeto desta licitação, e não poderá conter condições ou alternativas não previstas neste TR e seus anexos constitutivos.</w:t>
      </w:r>
    </w:p>
    <w:p>
      <w:pPr>
        <w:rPr>
          <w:szCs w:val="20"/>
          <w:highlight w:val="none"/>
        </w:rPr>
      </w:pPr>
    </w:p>
    <w:p>
      <w:pPr>
        <w:pStyle w:val="4"/>
        <w:ind w:left="851" w:hanging="851"/>
        <w:rPr>
          <w:szCs w:val="20"/>
          <w:highlight w:val="none"/>
        </w:rPr>
      </w:pPr>
      <w:r>
        <w:rPr>
          <w:szCs w:val="20"/>
          <w:highlight w:val="none"/>
        </w:rPr>
        <w:t>A Proposta Financeira constitui-se dos seguintes documentos:</w:t>
      </w:r>
    </w:p>
    <w:p>
      <w:pPr>
        <w:rPr>
          <w:szCs w:val="20"/>
          <w:highlight w:val="none"/>
        </w:rPr>
      </w:pPr>
    </w:p>
    <w:p>
      <w:pPr>
        <w:pStyle w:val="3"/>
        <w:numPr>
          <w:ilvl w:val="0"/>
          <w:numId w:val="8"/>
        </w:numPr>
        <w:ind w:left="1418" w:hanging="567"/>
        <w:rPr>
          <w:szCs w:val="20"/>
          <w:highlight w:val="none"/>
        </w:rPr>
      </w:pPr>
      <w:r>
        <w:rPr>
          <w:szCs w:val="20"/>
          <w:highlight w:val="none"/>
        </w:rPr>
        <w:t>Planilha de Custos do Valor da Proposta da Licitante com todos os seus itens, devidamente preenchida, com clareza e sem rasuras, conforme a Planilha de Custos do Valor do Orçamento de Referência (</w:t>
      </w:r>
      <w:r>
        <w:rPr>
          <w:szCs w:val="20"/>
          <w:highlight w:val="none"/>
        </w:rPr>
        <w:fldChar w:fldCharType="begin"/>
      </w:r>
      <w:r>
        <w:rPr>
          <w:szCs w:val="20"/>
          <w:highlight w:val="none"/>
        </w:rPr>
        <w:instrText xml:space="preserve"> REF _Ref78987220 \h </w:instrText>
      </w:r>
      <w:r>
        <w:rPr>
          <w:szCs w:val="20"/>
          <w:highlight w:val="none"/>
        </w:rPr>
        <w:fldChar w:fldCharType="separate"/>
      </w:r>
      <w:r>
        <w:rPr>
          <w:szCs w:val="20"/>
          <w:highlight w:val="none"/>
        </w:rPr>
        <w:t>Anexo III</w:t>
      </w:r>
      <w:r>
        <w:rPr>
          <w:szCs w:val="20"/>
          <w:highlight w:val="none"/>
        </w:rPr>
        <w:fldChar w:fldCharType="end"/>
      </w:r>
      <w:r>
        <w:rPr>
          <w:szCs w:val="20"/>
          <w:highlight w:val="none"/>
        </w:rPr>
        <w:t>), que é parte integrante deste Termo de Referência, observando-se os preços unitários orçados pela Codevasf, nos quaisdeverá serincidido linearmente o percentual de desconto ofertado pela licitante, conforme inciso II, § 4º do art. 54 da Lei nº 13.303 de 30/06/2016.</w:t>
      </w:r>
    </w:p>
    <w:p>
      <w:pPr>
        <w:rPr>
          <w:szCs w:val="20"/>
          <w:highlight w:val="none"/>
        </w:rPr>
      </w:pPr>
    </w:p>
    <w:p>
      <w:pPr>
        <w:pStyle w:val="3"/>
        <w:numPr>
          <w:ilvl w:val="0"/>
          <w:numId w:val="9"/>
        </w:numPr>
        <w:ind w:left="1813" w:hanging="397"/>
        <w:rPr>
          <w:szCs w:val="20"/>
          <w:highlight w:val="none"/>
        </w:rPr>
      </w:pPr>
      <w:r>
        <w:rPr>
          <w:szCs w:val="20"/>
          <w:highlight w:val="none"/>
        </w:rPr>
        <w:t>Junto com a proposta, as Planilhas de Custos da Licitante deverão ser apresentadas em meio eletrônico (Microsoft Excel ou software livre), sem proteção do arquivo, objetivando facilitar a conferência da mesma;</w:t>
      </w:r>
    </w:p>
    <w:p>
      <w:pPr>
        <w:pStyle w:val="3"/>
        <w:numPr>
          <w:ilvl w:val="0"/>
          <w:numId w:val="9"/>
        </w:numPr>
        <w:ind w:left="1813" w:hanging="397"/>
        <w:rPr>
          <w:szCs w:val="20"/>
          <w:highlight w:val="none"/>
        </w:rPr>
      </w:pPr>
      <w:r>
        <w:rPr>
          <w:szCs w:val="20"/>
          <w:highlight w:val="none"/>
        </w:rPr>
        <w:t>As Planilhas de Custos da Licitante deverão ser preenchidas e assinadas por profissional competente, conforme os arts. 13 e 14 da Lei 5194/1966</w:t>
      </w:r>
      <w:r>
        <w:rPr>
          <w:b/>
          <w:szCs w:val="20"/>
          <w:highlight w:val="none"/>
        </w:rPr>
        <w:t>.</w:t>
      </w:r>
    </w:p>
    <w:p>
      <w:pPr>
        <w:pStyle w:val="3"/>
        <w:numPr>
          <w:ilvl w:val="0"/>
          <w:numId w:val="0"/>
        </w:numPr>
        <w:ind w:left="1418"/>
        <w:rPr>
          <w:b/>
          <w:szCs w:val="20"/>
          <w:highlight w:val="none"/>
          <w:u w:val="single"/>
        </w:rPr>
      </w:pPr>
    </w:p>
    <w:p>
      <w:pPr>
        <w:pStyle w:val="3"/>
        <w:numPr>
          <w:ilvl w:val="0"/>
          <w:numId w:val="8"/>
        </w:numPr>
        <w:ind w:left="1418" w:hanging="567"/>
        <w:rPr>
          <w:szCs w:val="20"/>
          <w:highlight w:val="none"/>
        </w:rPr>
      </w:pPr>
      <w:r>
        <w:rPr>
          <w:szCs w:val="20"/>
          <w:highlight w:val="none"/>
        </w:rPr>
        <w:t>A licitante de melhor proposta classificada deverá apresentar as composições de preços unitários, em formulário próprio, ofertados por item e subitem, com clareza e sem rasuras, vedada a utilização de unidades genéricas ou indicadas como verba.</w:t>
      </w:r>
    </w:p>
    <w:p>
      <w:pPr>
        <w:pStyle w:val="3"/>
        <w:numPr>
          <w:ilvl w:val="0"/>
          <w:numId w:val="0"/>
        </w:numPr>
        <w:ind w:left="1418"/>
        <w:rPr>
          <w:szCs w:val="20"/>
          <w:highlight w:val="none"/>
        </w:rPr>
      </w:pPr>
    </w:p>
    <w:p>
      <w:pPr>
        <w:pStyle w:val="3"/>
        <w:numPr>
          <w:ilvl w:val="0"/>
          <w:numId w:val="10"/>
        </w:numPr>
        <w:ind w:left="1843" w:hanging="425"/>
        <w:rPr>
          <w:szCs w:val="20"/>
          <w:highlight w:val="none"/>
        </w:rPr>
      </w:pPr>
      <w:r>
        <w:rPr>
          <w:szCs w:val="20"/>
          <w:highlight w:val="none"/>
        </w:rPr>
        <w:t>A planilha de composição de preços unitários deverá ser apresentada também em meio eletrônico (Microsoft Excel ou software livre), sem proteção do arquivo, objetivando facilitar a conferência da mesma;</w:t>
      </w:r>
    </w:p>
    <w:p>
      <w:pPr>
        <w:pStyle w:val="3"/>
        <w:numPr>
          <w:ilvl w:val="0"/>
          <w:numId w:val="10"/>
        </w:numPr>
        <w:ind w:left="1843" w:hanging="425"/>
        <w:rPr>
          <w:szCs w:val="20"/>
          <w:highlight w:val="none"/>
        </w:rPr>
      </w:pPr>
      <w:r>
        <w:rPr>
          <w:szCs w:val="20"/>
          <w:highlight w:val="none"/>
        </w:rPr>
        <w:t>A licitante deverá apresentar a planilha de composição de preços unitários em conformidade com a Planilha de Custos do Valor da Proposta da Licitante;</w:t>
      </w:r>
    </w:p>
    <w:p>
      <w:pPr>
        <w:pStyle w:val="3"/>
        <w:numPr>
          <w:ilvl w:val="0"/>
          <w:numId w:val="10"/>
        </w:numPr>
        <w:ind w:left="1843" w:hanging="425"/>
        <w:rPr>
          <w:szCs w:val="20"/>
          <w:highlight w:val="none"/>
        </w:rPr>
      </w:pPr>
      <w:r>
        <w:rPr>
          <w:szCs w:val="20"/>
          <w:highlight w:val="none"/>
        </w:rPr>
        <w:t>A licitante deverá, na composição de preços unitários de mão-de-obra, observar os pisos salariais normativos da categoria correspondente, fixados por lei, dissídio coletivo, acordos ou convenções coletivas de trabalho do(s) município(s) onde ocorrerá(ão) o(s) serviço(s);</w:t>
      </w:r>
    </w:p>
    <w:p>
      <w:pPr>
        <w:pStyle w:val="3"/>
        <w:numPr>
          <w:ilvl w:val="0"/>
          <w:numId w:val="10"/>
        </w:numPr>
        <w:ind w:left="1843" w:hanging="425"/>
        <w:rPr>
          <w:szCs w:val="20"/>
          <w:highlight w:val="none"/>
        </w:rPr>
      </w:pPr>
      <w:r>
        <w:rPr>
          <w:szCs w:val="20"/>
          <w:highlight w:val="none"/>
        </w:rPr>
        <w:t>No caso de existirem itens de serviços repetidos na Planilha de Custos do Valor da Proposta da Licitante será necessário apresentar apenas uma composição de preços unitários, referenciando os itens aos quais a composição pertence, sendo necessário entregar as referidas composições na mesma ordem e com os mesmos nomes dos serviços constantes das planilhas, devendo estar devidamente assinadas por profissional competente, conforme os arts. 13 e 14 da Lei 5194/1966;</w:t>
      </w:r>
    </w:p>
    <w:p>
      <w:pPr>
        <w:pStyle w:val="3"/>
        <w:numPr>
          <w:ilvl w:val="0"/>
          <w:numId w:val="10"/>
        </w:numPr>
        <w:ind w:left="1843" w:hanging="425"/>
        <w:rPr>
          <w:szCs w:val="20"/>
          <w:highlight w:val="none"/>
        </w:rPr>
      </w:pPr>
      <w:r>
        <w:rPr>
          <w:szCs w:val="20"/>
          <w:highlight w:val="none"/>
        </w:rPr>
        <w:t>As composições de custos unitários poderão ser verificadas quanto à adequação ao projeto, cabendo à comissão solicitar a compatibilidade da composição de custo unitário ao projeto.</w:t>
      </w:r>
    </w:p>
    <w:p>
      <w:pPr>
        <w:rPr>
          <w:szCs w:val="20"/>
          <w:highlight w:val="none"/>
        </w:rPr>
      </w:pPr>
    </w:p>
    <w:p>
      <w:pPr>
        <w:pStyle w:val="3"/>
        <w:numPr>
          <w:ilvl w:val="0"/>
          <w:numId w:val="8"/>
        </w:numPr>
        <w:ind w:left="1418" w:hanging="567"/>
        <w:rPr>
          <w:szCs w:val="20"/>
          <w:highlight w:val="none"/>
        </w:rPr>
      </w:pPr>
      <w:r>
        <w:rPr>
          <w:szCs w:val="20"/>
          <w:highlight w:val="none"/>
        </w:rPr>
        <w:t xml:space="preserve">Detalhamento dos Encargos Sociais (Quadro DES) – </w:t>
      </w:r>
      <w:r>
        <w:rPr>
          <w:highlight w:val="none"/>
        </w:rPr>
        <w:fldChar w:fldCharType="begin"/>
      </w:r>
      <w:r>
        <w:rPr>
          <w:highlight w:val="none"/>
        </w:rPr>
        <w:instrText xml:space="preserve"> REF _Ref78987220 \h  \* MERGEFORMAT </w:instrText>
      </w:r>
      <w:r>
        <w:rPr>
          <w:highlight w:val="none"/>
        </w:rPr>
        <w:fldChar w:fldCharType="separate"/>
      </w:r>
      <w:r>
        <w:rPr>
          <w:szCs w:val="20"/>
          <w:highlight w:val="none"/>
        </w:rPr>
        <w:t>Anexo III</w:t>
      </w:r>
      <w:r>
        <w:rPr>
          <w:szCs w:val="20"/>
          <w:highlight w:val="none"/>
        </w:rPr>
        <w:fldChar w:fldCharType="end"/>
      </w:r>
    </w:p>
    <w:p>
      <w:pPr>
        <w:rPr>
          <w:szCs w:val="20"/>
          <w:highlight w:val="none"/>
        </w:rPr>
      </w:pPr>
    </w:p>
    <w:p>
      <w:pPr>
        <w:pStyle w:val="3"/>
        <w:numPr>
          <w:ilvl w:val="0"/>
          <w:numId w:val="11"/>
        </w:numPr>
        <w:ind w:left="1843" w:hanging="425"/>
        <w:rPr>
          <w:szCs w:val="20"/>
          <w:highlight w:val="none"/>
        </w:rPr>
      </w:pPr>
      <w:r>
        <w:rPr>
          <w:szCs w:val="20"/>
          <w:highlight w:val="none"/>
        </w:rPr>
        <w:t>Encargos Sociais distintos para mensalistas e outro para horista.</w:t>
      </w:r>
    </w:p>
    <w:p>
      <w:pPr>
        <w:rPr>
          <w:szCs w:val="20"/>
          <w:highlight w:val="none"/>
        </w:rPr>
      </w:pPr>
    </w:p>
    <w:p>
      <w:pPr>
        <w:pStyle w:val="3"/>
        <w:numPr>
          <w:ilvl w:val="0"/>
          <w:numId w:val="8"/>
        </w:numPr>
        <w:ind w:left="1418" w:hanging="567"/>
        <w:rPr>
          <w:szCs w:val="20"/>
          <w:highlight w:val="none"/>
        </w:rPr>
      </w:pPr>
      <w:r>
        <w:rPr>
          <w:szCs w:val="20"/>
          <w:highlight w:val="none"/>
        </w:rPr>
        <w:t xml:space="preserve">Detalhamento do BDI (Quadros DBDI) – </w:t>
      </w:r>
      <w:r>
        <w:rPr>
          <w:highlight w:val="none"/>
        </w:rPr>
        <w:fldChar w:fldCharType="begin"/>
      </w:r>
      <w:r>
        <w:rPr>
          <w:highlight w:val="none"/>
        </w:rPr>
        <w:instrText xml:space="preserve"> REF _Ref78987220 \h  \* MERGEFORMAT </w:instrText>
      </w:r>
      <w:r>
        <w:rPr>
          <w:highlight w:val="none"/>
        </w:rPr>
        <w:fldChar w:fldCharType="separate"/>
      </w:r>
      <w:r>
        <w:rPr>
          <w:szCs w:val="20"/>
          <w:highlight w:val="none"/>
        </w:rPr>
        <w:t>Anexo III</w:t>
      </w:r>
      <w:r>
        <w:rPr>
          <w:szCs w:val="20"/>
          <w:highlight w:val="none"/>
        </w:rPr>
        <w:fldChar w:fldCharType="end"/>
      </w:r>
    </w:p>
    <w:p>
      <w:pPr>
        <w:rPr>
          <w:szCs w:val="20"/>
          <w:highlight w:val="none"/>
        </w:rPr>
      </w:pPr>
    </w:p>
    <w:p>
      <w:pPr>
        <w:pStyle w:val="3"/>
        <w:numPr>
          <w:ilvl w:val="0"/>
          <w:numId w:val="12"/>
        </w:numPr>
        <w:ind w:left="1843" w:hanging="425"/>
        <w:rPr>
          <w:szCs w:val="20"/>
          <w:highlight w:val="none"/>
        </w:rPr>
      </w:pPr>
      <w:r>
        <w:rPr>
          <w:szCs w:val="20"/>
          <w:highlight w:val="none"/>
        </w:rPr>
        <w:t>Um quadro para o fornecimento de materiais e equipamentos (Quadro DBDI-F) e outro para os serviços (Quadro DBDI-S), sob pena de desclassificação da proposta;</w:t>
      </w:r>
    </w:p>
    <w:p>
      <w:pPr>
        <w:pStyle w:val="3"/>
        <w:numPr>
          <w:ilvl w:val="0"/>
          <w:numId w:val="12"/>
        </w:numPr>
        <w:ind w:left="1843" w:hanging="425"/>
        <w:rPr>
          <w:szCs w:val="20"/>
          <w:highlight w:val="none"/>
        </w:rPr>
      </w:pPr>
      <w:r>
        <w:rPr>
          <w:szCs w:val="20"/>
          <w:highlight w:val="none"/>
        </w:rPr>
        <w:t>No preenchimento dos Quadros – Detalhamento do BDI, a licitante deverá considerar todos os impostos, taxas e tributos, conforme previsto na legislação vigente, ou seja, aplicado sobre o preço de venda da obra;</w:t>
      </w:r>
    </w:p>
    <w:p>
      <w:pPr>
        <w:pStyle w:val="3"/>
        <w:numPr>
          <w:ilvl w:val="0"/>
          <w:numId w:val="12"/>
        </w:numPr>
        <w:ind w:left="1843" w:hanging="425"/>
        <w:rPr>
          <w:szCs w:val="20"/>
          <w:highlight w:val="none"/>
        </w:rPr>
      </w:pPr>
      <w:r>
        <w:rPr>
          <w:szCs w:val="20"/>
          <w:highlight w:val="none"/>
        </w:rPr>
        <w:t>Deverá ser considerado no BDI, o ISS do município onde será executada a obra. No caso de serviços que abrangem municípios distintos, para definição do ISS médio, deverá ser calculado com base na legislação de cada município e verificação de seu respectivo peso no volume dos serviços;</w:t>
      </w:r>
    </w:p>
    <w:p>
      <w:pPr>
        <w:pStyle w:val="3"/>
        <w:numPr>
          <w:ilvl w:val="0"/>
          <w:numId w:val="12"/>
        </w:numPr>
        <w:ind w:left="1843" w:hanging="425"/>
        <w:rPr>
          <w:szCs w:val="20"/>
          <w:highlight w:val="none"/>
        </w:rPr>
      </w:pPr>
      <w:r>
        <w:rPr>
          <w:szCs w:val="20"/>
          <w:highlight w:val="none"/>
        </w:rPr>
        <w:t>Não poderão ser considerados no Detalhamento do BDI, bem como na Planilha de Custos do Valor da Proposta da Licitante, os tributos: Imposto de Renda Pessoa Jurídica – IRPJ e a Contribuição Social Sobre o Lucro Líquido – CSLL;</w:t>
      </w:r>
    </w:p>
    <w:p>
      <w:pPr>
        <w:pStyle w:val="3"/>
        <w:numPr>
          <w:ilvl w:val="0"/>
          <w:numId w:val="12"/>
        </w:numPr>
        <w:ind w:left="1843" w:hanging="425"/>
        <w:rPr>
          <w:szCs w:val="20"/>
          <w:highlight w:val="none"/>
        </w:rPr>
      </w:pPr>
      <w:r>
        <w:rPr>
          <w:szCs w:val="20"/>
          <w:highlight w:val="none"/>
        </w:rPr>
        <w:t>No detalhamento do BDI – Quadros DBDI, não deverá constar do item “Despesas Financeiras” a previsão de despesas relativas aos dissídios;</w:t>
      </w:r>
    </w:p>
    <w:p>
      <w:pPr>
        <w:pStyle w:val="3"/>
        <w:numPr>
          <w:ilvl w:val="0"/>
          <w:numId w:val="12"/>
        </w:numPr>
        <w:ind w:left="1843" w:hanging="425"/>
        <w:rPr>
          <w:szCs w:val="20"/>
          <w:highlight w:val="none"/>
        </w:rPr>
      </w:pPr>
      <w:r>
        <w:rPr>
          <w:szCs w:val="20"/>
          <w:highlight w:val="none"/>
        </w:rPr>
        <w:t>Os custos referentes aos serviços de Administração Local e Manutenção do Canteiro (AM) não poderão ser considerados como despesas indiretas e, portanto, não deverão constar do BDI. A licitante deverá apresentar um montante global especifico para os serviços de “AM” na Planilha de Custos do Valor da Proposta, onde deverão estar contemplados os itens transporte de pessoal, mão-de-obra, ferramentas, medicina e segurança do trabalho, seguros, alimentação do pessoal, veículos e equipamentos, outros materiais diversos, controle tecnológico, comunicação e energia, etc., devendo observar os quantitativos mínimos necessários ao atendimento do escopo do Termo de Referência.</w:t>
      </w:r>
    </w:p>
    <w:p>
      <w:pPr>
        <w:rPr>
          <w:szCs w:val="20"/>
          <w:highlight w:val="none"/>
        </w:rPr>
      </w:pPr>
    </w:p>
    <w:p>
      <w:pPr>
        <w:pStyle w:val="3"/>
        <w:numPr>
          <w:ilvl w:val="0"/>
          <w:numId w:val="8"/>
        </w:numPr>
        <w:ind w:left="1418" w:hanging="567"/>
        <w:rPr>
          <w:szCs w:val="20"/>
          <w:highlight w:val="none"/>
        </w:rPr>
      </w:pPr>
      <w:r>
        <w:rPr>
          <w:szCs w:val="20"/>
          <w:highlight w:val="none"/>
        </w:rPr>
        <w:t>Cronograma Físico-Financeiro dos itens da Planilha de Custos do Valor da Proposta da Licitante, obedecendo às atividades e prazos, com quantitativos previstosmês a mês, observando o prazo estabelecido para a execução dos serviços, conforme estabelecido neste TR.</w:t>
      </w:r>
    </w:p>
    <w:p>
      <w:pPr>
        <w:rPr>
          <w:szCs w:val="20"/>
          <w:highlight w:val="none"/>
        </w:rPr>
      </w:pPr>
    </w:p>
    <w:p>
      <w:pPr>
        <w:pStyle w:val="4"/>
        <w:ind w:left="851" w:hanging="851"/>
        <w:rPr>
          <w:szCs w:val="20"/>
          <w:highlight w:val="none"/>
        </w:rPr>
      </w:pPr>
      <w:r>
        <w:rPr>
          <w:szCs w:val="20"/>
          <w:highlight w:val="none"/>
        </w:rPr>
        <w:t>A Proposta Financeira deverá ser datada e assinada pelo representante legal da licitante, com o valor global evidenciado em separado na 1ª folha da proposta, em algarismo e por extenso, baseado nos quantitativos dos serviços e fornecimentos descritos na Planilha de Custos do Valor da Proposta da Licitante, nela incluídos todos os impostos e taxas, emolumentos e tributos, leis, encargos sociais e previdenciários, lucro, despesas indiretas, custos relativos à mão-de-obra, fornecimento de materiais, ferramentas e equipamentos necessários à sua execução, transporte até o local da obra, carga, transporte e descarga de materiais destinados ao bota-fora. No caso de omissão das referidas despesas, considerar-se-ão inclusas no valor global ofertado.</w:t>
      </w:r>
    </w:p>
    <w:p>
      <w:pPr>
        <w:rPr>
          <w:szCs w:val="20"/>
          <w:highlight w:val="none"/>
        </w:rPr>
      </w:pPr>
    </w:p>
    <w:p>
      <w:pPr>
        <w:pStyle w:val="4"/>
        <w:ind w:left="851" w:hanging="851"/>
        <w:rPr>
          <w:szCs w:val="20"/>
          <w:highlight w:val="none"/>
        </w:rPr>
      </w:pPr>
      <w:r>
        <w:rPr>
          <w:szCs w:val="20"/>
          <w:highlight w:val="none"/>
        </w:rPr>
        <w:t>Os custos máximos da mobilização e desmobilização de pessoal, máquinas e equipamentos e da instalação do canteiro de apoio das obras e serviços de engenharia, bem como da construção de instalações permanentes e/ou provisórias, serão aqueles constantes da Planilha de Custos do Valor do Orçamento de Referência –</w:t>
      </w:r>
      <w:r>
        <w:rPr>
          <w:highlight w:val="none"/>
        </w:rPr>
        <w:fldChar w:fldCharType="begin"/>
      </w:r>
      <w:r>
        <w:rPr>
          <w:highlight w:val="none"/>
        </w:rPr>
        <w:instrText xml:space="preserve"> REF _Ref450205931 \h  \* MERGEFORMAT </w:instrText>
      </w:r>
      <w:r>
        <w:rPr>
          <w:highlight w:val="none"/>
        </w:rPr>
        <w:fldChar w:fldCharType="separate"/>
      </w:r>
      <w:r>
        <w:rPr>
          <w:szCs w:val="20"/>
          <w:highlight w:val="none"/>
        </w:rPr>
        <w:t>Anexo III</w:t>
      </w:r>
      <w:r>
        <w:rPr>
          <w:szCs w:val="20"/>
          <w:highlight w:val="none"/>
        </w:rPr>
        <w:fldChar w:fldCharType="end"/>
      </w:r>
      <w:r>
        <w:rPr>
          <w:szCs w:val="20"/>
          <w:highlight w:val="none"/>
        </w:rPr>
        <w:t>, e que integram o presente edital.</w:t>
      </w:r>
    </w:p>
    <w:p>
      <w:pPr>
        <w:rPr>
          <w:szCs w:val="20"/>
          <w:highlight w:val="none"/>
        </w:rPr>
      </w:pPr>
    </w:p>
    <w:p>
      <w:pPr>
        <w:pStyle w:val="4"/>
        <w:ind w:left="851" w:hanging="851"/>
        <w:rPr>
          <w:szCs w:val="20"/>
          <w:highlight w:val="none"/>
        </w:rPr>
      </w:pPr>
      <w:r>
        <w:rPr>
          <w:szCs w:val="20"/>
          <w:highlight w:val="none"/>
        </w:rPr>
        <w:t>A licitante deverá prever todos os acessos necessários para permitir a chegada dos equipamentos e materiais no local de execução das obras e serviços de engenharia, avaliando-se todas as suas dificuldades, pois os eventuais custos decorrentes de qualquer serviço para melhoria destes acessos correrão por conta da CONTRATADA.</w:t>
      </w:r>
    </w:p>
    <w:p>
      <w:pPr>
        <w:rPr>
          <w:szCs w:val="20"/>
          <w:highlight w:val="none"/>
        </w:rPr>
      </w:pPr>
    </w:p>
    <w:p>
      <w:pPr>
        <w:pStyle w:val="4"/>
        <w:ind w:left="851" w:hanging="851"/>
        <w:rPr>
          <w:szCs w:val="20"/>
          <w:highlight w:val="none"/>
        </w:rPr>
      </w:pPr>
      <w:r>
        <w:rPr>
          <w:szCs w:val="20"/>
          <w:highlight w:val="none"/>
        </w:rPr>
        <w:t>A licitante deverá utilizar, sempre que possível, nos valores propostos, mão de obra, materiais, tecnologias e matérias primas existentes no local da execução das obras e serviços de engenharia, desde que não se produzam prejuízos à eficiência na execução do objeto e que seja respeitado o limite do orçamento estimado para a contratação.</w:t>
      </w:r>
    </w:p>
    <w:p>
      <w:pPr>
        <w:rPr>
          <w:szCs w:val="20"/>
          <w:highlight w:val="none"/>
        </w:rPr>
      </w:pPr>
    </w:p>
    <w:p>
      <w:pPr>
        <w:pStyle w:val="2"/>
        <w:ind w:left="851" w:hanging="851"/>
        <w:rPr>
          <w:szCs w:val="20"/>
          <w:highlight w:val="none"/>
        </w:rPr>
      </w:pPr>
      <w:bookmarkStart w:id="15" w:name="_Toc31974"/>
      <w:r>
        <w:rPr>
          <w:szCs w:val="20"/>
          <w:highlight w:val="none"/>
        </w:rPr>
        <w:t>DOCUMENTAÇÃO DE HABILITAÇÃO</w:t>
      </w:r>
      <w:bookmarkEnd w:id="15"/>
    </w:p>
    <w:p>
      <w:pPr>
        <w:rPr>
          <w:szCs w:val="20"/>
          <w:highlight w:val="none"/>
        </w:rPr>
      </w:pPr>
    </w:p>
    <w:p>
      <w:pPr>
        <w:pStyle w:val="4"/>
        <w:ind w:left="851" w:hanging="851"/>
        <w:rPr>
          <w:szCs w:val="20"/>
          <w:highlight w:val="none"/>
        </w:rPr>
      </w:pPr>
      <w:r>
        <w:rPr>
          <w:szCs w:val="20"/>
          <w:highlight w:val="none"/>
        </w:rPr>
        <w:t>QUALIFICAÇÃO TÉCNICA</w:t>
      </w:r>
    </w:p>
    <w:p>
      <w:pPr>
        <w:rPr>
          <w:szCs w:val="20"/>
          <w:highlight w:val="none"/>
        </w:rPr>
      </w:pPr>
    </w:p>
    <w:p>
      <w:pPr>
        <w:pStyle w:val="5"/>
        <w:rPr>
          <w:highlight w:val="none"/>
        </w:rPr>
      </w:pPr>
      <w:r>
        <w:rPr>
          <w:highlight w:val="none"/>
        </w:rPr>
        <w:t xml:space="preserve"> A Licitante deverá apresentar os seguintes documentos:</w:t>
      </w:r>
    </w:p>
    <w:p>
      <w:pPr>
        <w:rPr>
          <w:szCs w:val="20"/>
          <w:highlight w:val="none"/>
        </w:rPr>
      </w:pPr>
    </w:p>
    <w:p>
      <w:pPr>
        <w:pStyle w:val="3"/>
        <w:numPr>
          <w:ilvl w:val="0"/>
          <w:numId w:val="13"/>
        </w:numPr>
        <w:ind w:left="1418" w:hanging="567"/>
        <w:rPr>
          <w:szCs w:val="20"/>
          <w:highlight w:val="none"/>
        </w:rPr>
      </w:pPr>
      <w:r>
        <w:rPr>
          <w:szCs w:val="20"/>
          <w:highlight w:val="none"/>
        </w:rPr>
        <w:t>Registro ou inscrição da empresa no Conselho Regional de Engenharia e Agronomia (CREA), através de certidão, demonstrando o ramo de atividade pertinente e compatível com o objeto do presente Edital;</w:t>
      </w:r>
    </w:p>
    <w:p>
      <w:pPr>
        <w:pStyle w:val="3"/>
        <w:numPr>
          <w:ilvl w:val="0"/>
          <w:numId w:val="0"/>
        </w:numPr>
        <w:ind w:left="1418"/>
        <w:rPr>
          <w:szCs w:val="20"/>
          <w:highlight w:val="none"/>
        </w:rPr>
      </w:pPr>
    </w:p>
    <w:p>
      <w:pPr>
        <w:pStyle w:val="3"/>
        <w:numPr>
          <w:ilvl w:val="0"/>
          <w:numId w:val="13"/>
        </w:numPr>
        <w:ind w:left="1418" w:hanging="567"/>
        <w:rPr>
          <w:szCs w:val="20"/>
          <w:highlight w:val="none"/>
        </w:rPr>
      </w:pPr>
      <w:r>
        <w:rPr>
          <w:szCs w:val="20"/>
          <w:highlight w:val="none"/>
        </w:rPr>
        <w:t xml:space="preserve"> DECLARAÇÃO DE CONHECIMENTO DO LOCAL DE EXECUÇÃO DOS SERVIÇOS (conforme subitem </w:t>
      </w:r>
      <w:r>
        <w:rPr>
          <w:highlight w:val="none"/>
        </w:rPr>
        <w:fldChar w:fldCharType="begin"/>
      </w:r>
      <w:r>
        <w:rPr>
          <w:highlight w:val="none"/>
        </w:rPr>
        <w:instrText xml:space="preserve"> REF _Ref78987628 \r \h  \* MERGEFORMAT </w:instrText>
      </w:r>
      <w:r>
        <w:rPr>
          <w:highlight w:val="none"/>
        </w:rPr>
        <w:fldChar w:fldCharType="separate"/>
      </w:r>
      <w:r>
        <w:rPr>
          <w:szCs w:val="20"/>
          <w:highlight w:val="none"/>
        </w:rPr>
        <w:t>7.1.2</w:t>
      </w:r>
      <w:r>
        <w:rPr>
          <w:szCs w:val="20"/>
          <w:highlight w:val="none"/>
        </w:rPr>
        <w:fldChar w:fldCharType="end"/>
      </w:r>
      <w:r>
        <w:rPr>
          <w:szCs w:val="20"/>
          <w:highlight w:val="none"/>
        </w:rPr>
        <w:t xml:space="preserve"> e </w:t>
      </w:r>
      <w:r>
        <w:rPr>
          <w:highlight w:val="none"/>
        </w:rPr>
        <w:fldChar w:fldCharType="begin"/>
      </w:r>
      <w:r>
        <w:rPr>
          <w:highlight w:val="none"/>
        </w:rPr>
        <w:instrText xml:space="preserve"> REF _Ref450205804 \h  \* MERGEFORMAT </w:instrText>
      </w:r>
      <w:r>
        <w:rPr>
          <w:highlight w:val="none"/>
        </w:rPr>
        <w:fldChar w:fldCharType="separate"/>
      </w:r>
      <w:r>
        <w:rPr>
          <w:szCs w:val="20"/>
          <w:highlight w:val="none"/>
        </w:rPr>
        <w:t>Anexo II</w:t>
      </w:r>
      <w:r>
        <w:rPr>
          <w:szCs w:val="20"/>
          <w:highlight w:val="none"/>
        </w:rPr>
        <w:fldChar w:fldCharType="end"/>
      </w:r>
      <w:r>
        <w:rPr>
          <w:szCs w:val="20"/>
          <w:highlight w:val="none"/>
        </w:rPr>
        <w:t>) informando que tem conhecimento do local onde serão executadas as obras e serviços de engenharia, emitida pela própria licitante, assinada pelo(s) o(s) Responsável(is) Técnico(s) ou Representante Legal.</w:t>
      </w:r>
    </w:p>
    <w:p>
      <w:pPr>
        <w:pStyle w:val="3"/>
        <w:numPr>
          <w:ilvl w:val="0"/>
          <w:numId w:val="0"/>
        </w:numPr>
        <w:ind w:left="810"/>
        <w:rPr>
          <w:szCs w:val="20"/>
          <w:highlight w:val="none"/>
        </w:rPr>
      </w:pPr>
    </w:p>
    <w:p>
      <w:pPr>
        <w:pStyle w:val="3"/>
        <w:numPr>
          <w:ilvl w:val="0"/>
          <w:numId w:val="13"/>
        </w:numPr>
        <w:ind w:left="1418" w:hanging="567"/>
        <w:rPr>
          <w:szCs w:val="20"/>
          <w:highlight w:val="none"/>
        </w:rPr>
      </w:pPr>
      <w:r>
        <w:rPr>
          <w:b/>
          <w:szCs w:val="20"/>
          <w:highlight w:val="none"/>
        </w:rPr>
        <w:t>Capacidade Técnico Operacional</w:t>
      </w:r>
      <w:r>
        <w:rPr>
          <w:szCs w:val="20"/>
          <w:highlight w:val="none"/>
        </w:rPr>
        <w:t xml:space="preserve">: Certidão(ões) ou Atestado(s) de capacidade técnica, em nome da empresa, expedido por pessoa jurídica de direito público ou privado, acompanhado(s) da(s) respectiva(s) Certidão(ões) de Acervo Técnico – CAT – do(s) profissional(is) responsável(is) à época, devidamente registrado no CREA da região onde os serviços foram executados,que comprove que a licitante tenha executado </w:t>
      </w:r>
      <w:r>
        <w:rPr>
          <w:bCs/>
          <w:szCs w:val="20"/>
          <w:highlight w:val="none"/>
        </w:rPr>
        <w:t>obras de abastecimento de água ou obras similares de porte e complexidade ao objeto desta licitação</w:t>
      </w:r>
      <w:r>
        <w:rPr>
          <w:szCs w:val="20"/>
          <w:highlight w:val="none"/>
        </w:rPr>
        <w:t>, executadas com técnicas construtivas semelhantes ou superiores às requeridas para execução dos itens relacionados abaixo, caracterizados pelas parcelas de maior relevância técnica e de valor significativo, com os seguintes quantitativos mínimos:</w:t>
      </w:r>
    </w:p>
    <w:p>
      <w:pPr>
        <w:rPr>
          <w:szCs w:val="20"/>
          <w:highlight w:val="none"/>
        </w:rPr>
      </w:pPr>
    </w:p>
    <w:tbl>
      <w:tblPr>
        <w:tblStyle w:val="30"/>
        <w:tblW w:w="8137" w:type="dxa"/>
        <w:jc w:val="right"/>
        <w:tblInd w:w="-414"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70" w:type="dxa"/>
          <w:bottom w:w="0" w:type="dxa"/>
          <w:right w:w="70" w:type="dxa"/>
        </w:tblCellMar>
      </w:tblPr>
      <w:tblGrid>
        <w:gridCol w:w="705"/>
        <w:gridCol w:w="5874"/>
        <w:gridCol w:w="1558"/>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70" w:type="dxa"/>
            <w:bottom w:w="0" w:type="dxa"/>
            <w:right w:w="70" w:type="dxa"/>
          </w:tblCellMar>
        </w:tblPrEx>
        <w:trPr>
          <w:trHeight w:val="113" w:hRule="atLeast"/>
          <w:jc w:val="right"/>
        </w:trPr>
        <w:tc>
          <w:tcPr>
            <w:tcW w:w="705" w:type="dxa"/>
            <w:tcBorders>
              <w:top w:val="single" w:color="auto" w:sz="4" w:space="0"/>
            </w:tcBorders>
            <w:shd w:val="clear" w:color="000000" w:fill="D8D8D8"/>
            <w:noWrap/>
            <w:vAlign w:val="center"/>
          </w:tcPr>
          <w:p>
            <w:pPr>
              <w:jc w:val="center"/>
              <w:rPr>
                <w:b/>
                <w:bCs/>
                <w:szCs w:val="20"/>
                <w:highlight w:val="none"/>
                <w:lang w:eastAsia="pt-BR"/>
              </w:rPr>
            </w:pPr>
          </w:p>
        </w:tc>
        <w:tc>
          <w:tcPr>
            <w:tcW w:w="5874" w:type="dxa"/>
            <w:tcBorders>
              <w:top w:val="single" w:color="auto" w:sz="4" w:space="0"/>
            </w:tcBorders>
            <w:shd w:val="clear" w:color="000000" w:fill="D8D8D8"/>
            <w:vAlign w:val="center"/>
          </w:tcPr>
          <w:p>
            <w:pPr>
              <w:jc w:val="center"/>
              <w:rPr>
                <w:b/>
                <w:bCs/>
                <w:szCs w:val="20"/>
                <w:highlight w:val="none"/>
                <w:lang w:eastAsia="pt-BR"/>
              </w:rPr>
            </w:pPr>
            <w:r>
              <w:rPr>
                <w:b/>
                <w:bCs/>
                <w:szCs w:val="20"/>
                <w:highlight w:val="none"/>
                <w:lang w:eastAsia="pt-BR"/>
              </w:rPr>
              <w:t>SERVIÇO</w:t>
            </w:r>
          </w:p>
        </w:tc>
        <w:tc>
          <w:tcPr>
            <w:tcW w:w="1558" w:type="dxa"/>
            <w:tcBorders>
              <w:top w:val="single" w:color="auto" w:sz="4" w:space="0"/>
            </w:tcBorders>
            <w:shd w:val="clear" w:color="000000" w:fill="D8D8D8"/>
            <w:noWrap/>
            <w:vAlign w:val="center"/>
          </w:tcPr>
          <w:p>
            <w:pPr>
              <w:jc w:val="center"/>
              <w:rPr>
                <w:b/>
                <w:bCs/>
                <w:szCs w:val="20"/>
                <w:highlight w:val="none"/>
                <w:lang w:eastAsia="pt-BR"/>
              </w:rPr>
            </w:pPr>
            <w:r>
              <w:rPr>
                <w:b/>
                <w:bCs/>
                <w:szCs w:val="20"/>
                <w:highlight w:val="none"/>
                <w:lang w:eastAsia="pt-BR"/>
              </w:rPr>
              <w:t>QUANTIDADE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70" w:type="dxa"/>
            <w:bottom w:w="0" w:type="dxa"/>
            <w:right w:w="70" w:type="dxa"/>
          </w:tblCellMar>
        </w:tblPrEx>
        <w:trPr>
          <w:trHeight w:val="113" w:hRule="atLeast"/>
          <w:jc w:val="right"/>
        </w:trPr>
        <w:tc>
          <w:tcPr>
            <w:tcW w:w="705" w:type="dxa"/>
            <w:noWrap/>
            <w:vAlign w:val="center"/>
          </w:tcPr>
          <w:p>
            <w:pPr>
              <w:jc w:val="center"/>
              <w:rPr>
                <w:szCs w:val="20"/>
                <w:highlight w:val="none"/>
                <w:lang w:eastAsia="pt-BR"/>
              </w:rPr>
            </w:pPr>
            <w:r>
              <w:rPr>
                <w:szCs w:val="20"/>
                <w:highlight w:val="none"/>
                <w:lang w:eastAsia="pt-BR"/>
              </w:rPr>
              <w:t>1.0</w:t>
            </w:r>
          </w:p>
        </w:tc>
        <w:tc>
          <w:tcPr>
            <w:tcW w:w="5874" w:type="dxa"/>
            <w:vAlign w:val="center"/>
          </w:tcPr>
          <w:p>
            <w:pPr>
              <w:rPr>
                <w:rFonts w:hint="default"/>
                <w:szCs w:val="20"/>
                <w:highlight w:val="none"/>
                <w:lang w:val="pt-BR"/>
              </w:rPr>
            </w:pPr>
            <w:r>
              <w:rPr>
                <w:rFonts w:hint="default"/>
                <w:szCs w:val="20"/>
                <w:highlight w:val="none"/>
              </w:rPr>
              <w:t>ASSENTAMENTO DE TUBO DE PVC PBA PARA REDE DE ÁGUA, DN 75 MM</w:t>
            </w:r>
            <w:r>
              <w:rPr>
                <w:rFonts w:hint="default"/>
                <w:szCs w:val="20"/>
                <w:highlight w:val="none"/>
                <w:lang w:val="pt-BR"/>
              </w:rPr>
              <w:t xml:space="preserve"> OU SUPERIOR</w:t>
            </w:r>
          </w:p>
        </w:tc>
        <w:tc>
          <w:tcPr>
            <w:tcW w:w="1558" w:type="dxa"/>
            <w:noWrap/>
            <w:vAlign w:val="center"/>
          </w:tcPr>
          <w:p>
            <w:pPr>
              <w:jc w:val="center"/>
              <w:rPr>
                <w:szCs w:val="20"/>
                <w:highlight w:val="none"/>
              </w:rPr>
            </w:pPr>
            <w:r>
              <w:rPr>
                <w:rFonts w:hint="default"/>
                <w:szCs w:val="20"/>
                <w:highlight w:val="none"/>
                <w:lang w:val="pt-BR"/>
              </w:rPr>
              <w:t>800</w:t>
            </w:r>
            <w:r>
              <w:rPr>
                <w:szCs w:val="20"/>
                <w:highlight w:val="none"/>
              </w:rPr>
              <w:t xml:space="preserve"> m</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70" w:type="dxa"/>
            <w:bottom w:w="0" w:type="dxa"/>
            <w:right w:w="70" w:type="dxa"/>
          </w:tblCellMar>
        </w:tblPrEx>
        <w:trPr>
          <w:trHeight w:val="113" w:hRule="atLeast"/>
          <w:jc w:val="right"/>
        </w:trPr>
        <w:tc>
          <w:tcPr>
            <w:tcW w:w="705" w:type="dxa"/>
            <w:noWrap/>
            <w:vAlign w:val="center"/>
          </w:tcPr>
          <w:p>
            <w:pPr>
              <w:jc w:val="center"/>
              <w:rPr>
                <w:szCs w:val="20"/>
                <w:highlight w:val="none"/>
                <w:lang w:eastAsia="pt-BR"/>
              </w:rPr>
            </w:pPr>
            <w:r>
              <w:rPr>
                <w:szCs w:val="20"/>
                <w:highlight w:val="none"/>
                <w:lang w:eastAsia="pt-BR"/>
              </w:rPr>
              <w:t>2.0</w:t>
            </w:r>
          </w:p>
        </w:tc>
        <w:tc>
          <w:tcPr>
            <w:tcW w:w="5874" w:type="dxa"/>
            <w:vAlign w:val="center"/>
          </w:tcPr>
          <w:p>
            <w:pPr>
              <w:rPr>
                <w:szCs w:val="20"/>
                <w:highlight w:val="none"/>
              </w:rPr>
            </w:pPr>
            <w:r>
              <w:rPr>
                <w:rFonts w:hint="default"/>
                <w:szCs w:val="20"/>
                <w:highlight w:val="none"/>
              </w:rPr>
              <w:t>EXECUÇÃO E COMPACTAÇÃO DE ATERRO COM SOLO PREDOMINANTEMENTE ARGILOSO</w:t>
            </w:r>
          </w:p>
        </w:tc>
        <w:tc>
          <w:tcPr>
            <w:tcW w:w="1558" w:type="dxa"/>
            <w:noWrap/>
            <w:vAlign w:val="center"/>
          </w:tcPr>
          <w:p>
            <w:pPr>
              <w:jc w:val="center"/>
              <w:rPr>
                <w:rFonts w:hint="default"/>
                <w:szCs w:val="20"/>
                <w:highlight w:val="none"/>
                <w:lang w:val="pt-BR"/>
              </w:rPr>
            </w:pPr>
            <w:r>
              <w:rPr>
                <w:rFonts w:hint="default"/>
                <w:szCs w:val="20"/>
                <w:highlight w:val="none"/>
                <w:lang w:val="pt-BR"/>
              </w:rPr>
              <w:t>500 m³</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70" w:type="dxa"/>
            <w:bottom w:w="0" w:type="dxa"/>
            <w:right w:w="70" w:type="dxa"/>
          </w:tblCellMar>
        </w:tblPrEx>
        <w:trPr>
          <w:trHeight w:val="113" w:hRule="atLeast"/>
          <w:jc w:val="right"/>
        </w:trPr>
        <w:tc>
          <w:tcPr>
            <w:tcW w:w="705" w:type="dxa"/>
            <w:noWrap/>
            <w:vAlign w:val="center"/>
          </w:tcPr>
          <w:p>
            <w:pPr>
              <w:jc w:val="center"/>
              <w:rPr>
                <w:szCs w:val="20"/>
                <w:highlight w:val="none"/>
                <w:lang w:eastAsia="pt-BR"/>
              </w:rPr>
            </w:pPr>
            <w:r>
              <w:rPr>
                <w:szCs w:val="20"/>
                <w:highlight w:val="none"/>
                <w:lang w:eastAsia="pt-BR"/>
              </w:rPr>
              <w:t>3.0</w:t>
            </w:r>
          </w:p>
        </w:tc>
        <w:tc>
          <w:tcPr>
            <w:tcW w:w="5874" w:type="dxa"/>
            <w:vAlign w:val="center"/>
          </w:tcPr>
          <w:p>
            <w:pPr>
              <w:rPr>
                <w:rFonts w:hint="default"/>
                <w:szCs w:val="20"/>
                <w:highlight w:val="none"/>
                <w:lang w:val="pt-BR"/>
              </w:rPr>
            </w:pPr>
            <w:r>
              <w:rPr>
                <w:rFonts w:hint="default"/>
                <w:szCs w:val="20"/>
                <w:highlight w:val="none"/>
              </w:rPr>
              <w:t>RECOMPOSIÇÃO DE REVESTIMENTO EM CONCRETO ASFÁLTICO (AQUISIÇÃO EM USINA)</w:t>
            </w:r>
            <w:r>
              <w:rPr>
                <w:rFonts w:hint="default"/>
                <w:szCs w:val="20"/>
                <w:highlight w:val="none"/>
                <w:lang w:val="pt-BR"/>
              </w:rPr>
              <w:t xml:space="preserve"> </w:t>
            </w:r>
          </w:p>
        </w:tc>
        <w:tc>
          <w:tcPr>
            <w:tcW w:w="1558" w:type="dxa"/>
            <w:noWrap/>
            <w:vAlign w:val="center"/>
          </w:tcPr>
          <w:p>
            <w:pPr>
              <w:jc w:val="center"/>
              <w:rPr>
                <w:rFonts w:hint="default"/>
                <w:szCs w:val="20"/>
                <w:highlight w:val="none"/>
                <w:lang w:val="pt-BR"/>
              </w:rPr>
            </w:pPr>
            <w:r>
              <w:rPr>
                <w:rFonts w:hint="default"/>
                <w:szCs w:val="20"/>
                <w:highlight w:val="none"/>
                <w:lang w:val="pt-BR"/>
              </w:rPr>
              <w:t>10 m³</w:t>
            </w:r>
          </w:p>
        </w:tc>
      </w:tr>
    </w:tbl>
    <w:p>
      <w:pPr>
        <w:tabs>
          <w:tab w:val="left" w:pos="851"/>
        </w:tabs>
        <w:ind w:left="851" w:hanging="851"/>
        <w:rPr>
          <w:szCs w:val="20"/>
          <w:highlight w:val="none"/>
        </w:rPr>
      </w:pPr>
    </w:p>
    <w:p>
      <w:pPr>
        <w:pStyle w:val="3"/>
        <w:numPr>
          <w:ilvl w:val="0"/>
          <w:numId w:val="14"/>
        </w:numPr>
        <w:ind w:left="1843" w:hanging="425"/>
        <w:rPr>
          <w:szCs w:val="20"/>
          <w:highlight w:val="none"/>
        </w:rPr>
      </w:pPr>
      <w:r>
        <w:rPr>
          <w:szCs w:val="20"/>
          <w:highlight w:val="none"/>
        </w:rPr>
        <w:t>É permitido o somatório dos quantitativos estipulados na alínea “c”, mediante comprovação em mais de um atestado;</w:t>
      </w:r>
    </w:p>
    <w:p>
      <w:pPr>
        <w:rPr>
          <w:szCs w:val="20"/>
          <w:highlight w:val="none"/>
        </w:rPr>
      </w:pPr>
    </w:p>
    <w:p>
      <w:pPr>
        <w:pStyle w:val="3"/>
        <w:numPr>
          <w:ilvl w:val="0"/>
          <w:numId w:val="14"/>
        </w:numPr>
        <w:ind w:left="1843" w:hanging="425"/>
        <w:rPr>
          <w:color w:val="FF0000"/>
          <w:szCs w:val="20"/>
          <w:highlight w:val="none"/>
        </w:rPr>
      </w:pPr>
      <w:r>
        <w:rPr>
          <w:szCs w:val="20"/>
          <w:highlight w:val="none"/>
        </w:rPr>
        <w:t>Definem-se como obras similares: obras construtivamente afins às de saneamento básico, especialmente no campo de engenharia hidráulica, incluindo os sistemas de abastecimento de água e de esgotamento sanitário envolvendo: adutoras, canais, reversão de bacias, emissários e estações de bombeamento de água e de</w:t>
      </w:r>
      <w:r>
        <w:rPr>
          <w:rFonts w:hint="default"/>
          <w:szCs w:val="20"/>
          <w:highlight w:val="none"/>
          <w:lang w:val="pt-BR"/>
        </w:rPr>
        <w:t xml:space="preserve"> </w:t>
      </w:r>
      <w:r>
        <w:rPr>
          <w:szCs w:val="20"/>
          <w:highlight w:val="none"/>
        </w:rPr>
        <w:t>esgotos.</w:t>
      </w:r>
    </w:p>
    <w:p>
      <w:pPr>
        <w:pStyle w:val="3"/>
        <w:numPr>
          <w:ilvl w:val="0"/>
          <w:numId w:val="0"/>
        </w:numPr>
        <w:ind w:left="1843"/>
        <w:rPr>
          <w:color w:val="FF0000"/>
          <w:szCs w:val="20"/>
          <w:highlight w:val="none"/>
        </w:rPr>
      </w:pPr>
    </w:p>
    <w:p>
      <w:pPr>
        <w:pStyle w:val="3"/>
        <w:numPr>
          <w:ilvl w:val="0"/>
          <w:numId w:val="14"/>
        </w:numPr>
        <w:ind w:left="1843" w:hanging="425"/>
        <w:rPr>
          <w:szCs w:val="20"/>
          <w:highlight w:val="none"/>
        </w:rPr>
      </w:pPr>
      <w:r>
        <w:rPr>
          <w:szCs w:val="20"/>
          <w:highlight w:val="none"/>
        </w:rPr>
        <w:t xml:space="preserve">Definem-se como obras de porte e complexidade similares àquelas que apresentam grandezas e características técnicas semelhantes às descritas no Projeto Básico ou Executivo – </w:t>
      </w:r>
      <w:r>
        <w:rPr>
          <w:szCs w:val="20"/>
          <w:highlight w:val="none"/>
        </w:rPr>
        <w:fldChar w:fldCharType="begin"/>
      </w:r>
      <w:r>
        <w:rPr>
          <w:szCs w:val="20"/>
          <w:highlight w:val="none"/>
        </w:rPr>
        <w:instrText xml:space="preserve"> REF _Ref450205759 \h </w:instrText>
      </w:r>
      <w:r>
        <w:rPr>
          <w:szCs w:val="20"/>
          <w:highlight w:val="none"/>
        </w:rPr>
        <w:fldChar w:fldCharType="separate"/>
      </w:r>
      <w:r>
        <w:rPr>
          <w:szCs w:val="20"/>
          <w:highlight w:val="none"/>
        </w:rPr>
        <w:t>Anexo V</w:t>
      </w:r>
      <w:r>
        <w:rPr>
          <w:szCs w:val="20"/>
          <w:highlight w:val="none"/>
        </w:rPr>
        <w:fldChar w:fldCharType="end"/>
      </w:r>
      <w:r>
        <w:rPr>
          <w:szCs w:val="20"/>
          <w:highlight w:val="none"/>
        </w:rPr>
        <w:t>, parte integrante deste Edital;</w:t>
      </w:r>
    </w:p>
    <w:p>
      <w:pPr>
        <w:rPr>
          <w:szCs w:val="20"/>
          <w:highlight w:val="none"/>
        </w:rPr>
      </w:pPr>
    </w:p>
    <w:p>
      <w:pPr>
        <w:pStyle w:val="3"/>
        <w:numPr>
          <w:ilvl w:val="0"/>
          <w:numId w:val="14"/>
        </w:numPr>
        <w:ind w:left="1843" w:hanging="425"/>
        <w:rPr>
          <w:szCs w:val="20"/>
          <w:highlight w:val="none"/>
        </w:rPr>
      </w:pPr>
      <w:r>
        <w:rPr>
          <w:szCs w:val="20"/>
          <w:highlight w:val="none"/>
        </w:rPr>
        <w:t>Deverá(ão) constar do(s) atestado(s) ou da(s) certidão(ões) expedida(s) pelo CREA, em destaque, os seguintes dados:</w:t>
      </w:r>
    </w:p>
    <w:p>
      <w:pPr>
        <w:pStyle w:val="3"/>
        <w:numPr>
          <w:ilvl w:val="0"/>
          <w:numId w:val="15"/>
        </w:numPr>
        <w:rPr>
          <w:szCs w:val="20"/>
          <w:highlight w:val="none"/>
        </w:rPr>
      </w:pPr>
      <w:r>
        <w:rPr>
          <w:szCs w:val="20"/>
          <w:highlight w:val="none"/>
        </w:rPr>
        <w:t>local de execução;</w:t>
      </w:r>
    </w:p>
    <w:p>
      <w:pPr>
        <w:pStyle w:val="3"/>
        <w:numPr>
          <w:ilvl w:val="0"/>
          <w:numId w:val="15"/>
        </w:numPr>
        <w:rPr>
          <w:szCs w:val="20"/>
          <w:highlight w:val="none"/>
        </w:rPr>
      </w:pPr>
      <w:r>
        <w:rPr>
          <w:szCs w:val="20"/>
          <w:highlight w:val="none"/>
        </w:rPr>
        <w:t>nome do contratante e da pessoa jurídica contratada;</w:t>
      </w:r>
    </w:p>
    <w:p>
      <w:pPr>
        <w:pStyle w:val="3"/>
        <w:numPr>
          <w:ilvl w:val="0"/>
          <w:numId w:val="15"/>
        </w:numPr>
        <w:rPr>
          <w:szCs w:val="20"/>
          <w:highlight w:val="none"/>
        </w:rPr>
      </w:pPr>
      <w:r>
        <w:rPr>
          <w:szCs w:val="20"/>
          <w:highlight w:val="none"/>
        </w:rPr>
        <w:t>nome(s) do(s) responsável(is) técnico(s), seu(s) título(s) profissional(is) e número(s) de registro(s) no CREA;</w:t>
      </w:r>
    </w:p>
    <w:p>
      <w:pPr>
        <w:pStyle w:val="3"/>
        <w:numPr>
          <w:ilvl w:val="0"/>
          <w:numId w:val="15"/>
        </w:numPr>
        <w:rPr>
          <w:szCs w:val="20"/>
          <w:highlight w:val="none"/>
        </w:rPr>
      </w:pPr>
      <w:r>
        <w:rPr>
          <w:szCs w:val="20"/>
          <w:highlight w:val="none"/>
        </w:rPr>
        <w:t>descrição técnicas sucinta indicando os serviços e quantitativos executados; e</w:t>
      </w:r>
    </w:p>
    <w:p>
      <w:pPr>
        <w:pStyle w:val="3"/>
        <w:numPr>
          <w:ilvl w:val="0"/>
          <w:numId w:val="15"/>
        </w:numPr>
        <w:rPr>
          <w:szCs w:val="20"/>
          <w:highlight w:val="none"/>
        </w:rPr>
      </w:pPr>
      <w:r>
        <w:rPr>
          <w:szCs w:val="20"/>
          <w:highlight w:val="none"/>
        </w:rPr>
        <w:t>o prazo final de execução.</w:t>
      </w:r>
    </w:p>
    <w:p>
      <w:pPr>
        <w:pStyle w:val="3"/>
        <w:numPr>
          <w:ilvl w:val="0"/>
          <w:numId w:val="0"/>
        </w:numPr>
        <w:ind w:left="2625"/>
        <w:rPr>
          <w:szCs w:val="20"/>
          <w:highlight w:val="none"/>
        </w:rPr>
      </w:pPr>
    </w:p>
    <w:p>
      <w:pPr>
        <w:pStyle w:val="3"/>
        <w:numPr>
          <w:ilvl w:val="0"/>
          <w:numId w:val="13"/>
        </w:numPr>
        <w:ind w:left="1418" w:hanging="567"/>
        <w:rPr>
          <w:szCs w:val="20"/>
          <w:highlight w:val="none"/>
        </w:rPr>
      </w:pPr>
      <w:r>
        <w:rPr>
          <w:b/>
          <w:szCs w:val="20"/>
          <w:highlight w:val="none"/>
        </w:rPr>
        <w:t>Capacidade Técnico-Profissional</w:t>
      </w:r>
      <w:r>
        <w:rPr>
          <w:szCs w:val="20"/>
          <w:highlight w:val="none"/>
        </w:rPr>
        <w:t>: Comprovação de que a licitante possui em seu quadro permanente, na data da entrega da proposta, profissional de nível superior ou outro devidamente reconhecido pela entidade competente, detentor de atestado de responsabilidade técnica, e devidamente registrado no CREA, acompanhado da respectiva Certidão de Acervo Técnico – CAT, expedida por este Conselho, que comprove ter o profissional executado serviço relativo à implantação de sistemas de abastecimento de água ou obras similares, conforme alínea “c2” deste subitem.</w:t>
      </w:r>
    </w:p>
    <w:p>
      <w:pPr>
        <w:rPr>
          <w:szCs w:val="20"/>
          <w:highlight w:val="none"/>
        </w:rPr>
      </w:pPr>
    </w:p>
    <w:p>
      <w:pPr>
        <w:pStyle w:val="3"/>
        <w:numPr>
          <w:ilvl w:val="0"/>
          <w:numId w:val="16"/>
        </w:numPr>
        <w:tabs>
          <w:tab w:val="left" w:pos="2127"/>
        </w:tabs>
        <w:ind w:left="2127" w:hanging="567"/>
        <w:rPr>
          <w:szCs w:val="20"/>
          <w:highlight w:val="none"/>
        </w:rPr>
      </w:pPr>
      <w:r>
        <w:rPr>
          <w:szCs w:val="20"/>
          <w:highlight w:val="none"/>
        </w:rPr>
        <w:t xml:space="preserve">Entende-se, para fins deste Edital, como pertencente ao quadro permanente: </w:t>
      </w:r>
    </w:p>
    <w:p>
      <w:pPr>
        <w:pStyle w:val="3"/>
        <w:numPr>
          <w:ilvl w:val="0"/>
          <w:numId w:val="17"/>
        </w:numPr>
        <w:ind w:left="2552" w:hanging="425"/>
        <w:rPr>
          <w:szCs w:val="20"/>
          <w:highlight w:val="none"/>
        </w:rPr>
      </w:pPr>
      <w:r>
        <w:rPr>
          <w:szCs w:val="20"/>
          <w:highlight w:val="none"/>
        </w:rPr>
        <w:t>O empregado;</w:t>
      </w:r>
    </w:p>
    <w:p>
      <w:pPr>
        <w:pStyle w:val="3"/>
        <w:numPr>
          <w:ilvl w:val="0"/>
          <w:numId w:val="17"/>
        </w:numPr>
        <w:ind w:left="2552" w:hanging="425"/>
        <w:rPr>
          <w:szCs w:val="20"/>
          <w:highlight w:val="none"/>
        </w:rPr>
      </w:pPr>
      <w:r>
        <w:rPr>
          <w:szCs w:val="20"/>
          <w:highlight w:val="none"/>
        </w:rPr>
        <w:t xml:space="preserve">O sócio; </w:t>
      </w:r>
    </w:p>
    <w:p>
      <w:pPr>
        <w:pStyle w:val="3"/>
        <w:numPr>
          <w:ilvl w:val="0"/>
          <w:numId w:val="17"/>
        </w:numPr>
        <w:ind w:left="2552" w:hanging="425"/>
        <w:rPr>
          <w:szCs w:val="20"/>
          <w:highlight w:val="none"/>
        </w:rPr>
      </w:pPr>
      <w:r>
        <w:rPr>
          <w:szCs w:val="20"/>
          <w:highlight w:val="none"/>
        </w:rPr>
        <w:t>O detentor de contrato de prestação de serviço.</w:t>
      </w:r>
    </w:p>
    <w:p>
      <w:pPr>
        <w:tabs>
          <w:tab w:val="left" w:pos="1560"/>
          <w:tab w:val="left" w:pos="2127"/>
        </w:tabs>
        <w:suppressAutoHyphens/>
        <w:spacing w:before="120"/>
        <w:ind w:left="2127" w:hanging="567"/>
        <w:rPr>
          <w:szCs w:val="20"/>
          <w:highlight w:val="none"/>
        </w:rPr>
      </w:pPr>
    </w:p>
    <w:p>
      <w:pPr>
        <w:pStyle w:val="3"/>
        <w:numPr>
          <w:ilvl w:val="0"/>
          <w:numId w:val="16"/>
        </w:numPr>
        <w:tabs>
          <w:tab w:val="left" w:pos="2127"/>
        </w:tabs>
        <w:ind w:left="2127" w:hanging="567"/>
        <w:rPr>
          <w:szCs w:val="20"/>
          <w:highlight w:val="none"/>
        </w:rPr>
      </w:pPr>
      <w:r>
        <w:rPr>
          <w:szCs w:val="20"/>
          <w:highlight w:val="none"/>
        </w:rPr>
        <w:t>A licitante deverá comprovar através da juntada de cópia de:</w:t>
      </w:r>
    </w:p>
    <w:p>
      <w:pPr>
        <w:pStyle w:val="3"/>
        <w:numPr>
          <w:ilvl w:val="0"/>
          <w:numId w:val="18"/>
        </w:numPr>
        <w:tabs>
          <w:tab w:val="left" w:pos="2127"/>
        </w:tabs>
        <w:rPr>
          <w:szCs w:val="20"/>
          <w:highlight w:val="none"/>
        </w:rPr>
      </w:pPr>
      <w:r>
        <w:rPr>
          <w:szCs w:val="20"/>
          <w:highlight w:val="none"/>
        </w:rPr>
        <w:t>Empregado: Ficha ou livro de registro de empregado ou carteira de trabalho do profissional, que comprove a condição de pertencente ao quadro da licitante;</w:t>
      </w:r>
    </w:p>
    <w:p>
      <w:pPr>
        <w:pStyle w:val="3"/>
        <w:numPr>
          <w:ilvl w:val="0"/>
          <w:numId w:val="18"/>
        </w:numPr>
        <w:tabs>
          <w:tab w:val="left" w:pos="2127"/>
        </w:tabs>
        <w:rPr>
          <w:szCs w:val="20"/>
          <w:highlight w:val="none"/>
        </w:rPr>
      </w:pPr>
      <w:r>
        <w:rPr>
          <w:szCs w:val="20"/>
          <w:highlight w:val="none"/>
        </w:rPr>
        <w:t>Dirigente ou sócio: Contrato social, que demonstre a condição de sócio do profissional ou ato constitutivo da empresa; ou</w:t>
      </w:r>
    </w:p>
    <w:p>
      <w:pPr>
        <w:pStyle w:val="3"/>
        <w:numPr>
          <w:ilvl w:val="0"/>
          <w:numId w:val="18"/>
        </w:numPr>
        <w:tabs>
          <w:tab w:val="left" w:pos="2127"/>
        </w:tabs>
        <w:rPr>
          <w:szCs w:val="20"/>
          <w:highlight w:val="none"/>
        </w:rPr>
      </w:pPr>
      <w:r>
        <w:rPr>
          <w:szCs w:val="20"/>
          <w:highlight w:val="none"/>
        </w:rPr>
        <w:t>Autônomo: Contrato de prestação de serviço, celebrado de acordo com a legislação civil comum ou declaração de contratação futura do profissional detentor do atestado apresentado, desde que acompanhado da anuência deste.</w:t>
      </w:r>
    </w:p>
    <w:p>
      <w:pPr>
        <w:tabs>
          <w:tab w:val="left" w:pos="2127"/>
        </w:tabs>
        <w:ind w:left="2127" w:hanging="567"/>
        <w:rPr>
          <w:szCs w:val="20"/>
          <w:highlight w:val="none"/>
        </w:rPr>
      </w:pPr>
    </w:p>
    <w:p>
      <w:pPr>
        <w:pStyle w:val="3"/>
        <w:numPr>
          <w:ilvl w:val="0"/>
          <w:numId w:val="16"/>
        </w:numPr>
        <w:tabs>
          <w:tab w:val="left" w:pos="2127"/>
        </w:tabs>
        <w:ind w:left="2127" w:hanging="567"/>
        <w:rPr>
          <w:szCs w:val="20"/>
          <w:highlight w:val="none"/>
        </w:rPr>
      </w:pPr>
      <w:r>
        <w:rPr>
          <w:szCs w:val="20"/>
          <w:highlight w:val="none"/>
        </w:rPr>
        <w:t>No caso de duas ou mais licitantes apresentarem atestados de um mesmo profissional como responsável técnico, como comprovação de qualificação técnica, ambas serão inabilitadas.</w:t>
      </w:r>
    </w:p>
    <w:p>
      <w:pPr>
        <w:rPr>
          <w:szCs w:val="20"/>
          <w:highlight w:val="none"/>
        </w:rPr>
      </w:pPr>
    </w:p>
    <w:p>
      <w:pPr>
        <w:rPr>
          <w:szCs w:val="20"/>
          <w:highlight w:val="none"/>
        </w:rPr>
      </w:pPr>
    </w:p>
    <w:p>
      <w:pPr>
        <w:pStyle w:val="2"/>
        <w:ind w:left="851" w:hanging="851"/>
        <w:rPr>
          <w:szCs w:val="20"/>
          <w:highlight w:val="none"/>
        </w:rPr>
      </w:pPr>
      <w:bookmarkStart w:id="16" w:name="_Toc11654"/>
      <w:r>
        <w:rPr>
          <w:szCs w:val="20"/>
          <w:highlight w:val="none"/>
        </w:rPr>
        <w:t>ORÇAMENTO DE REFERÊNCIA, REFERÊNCIA DE PREÇOS E DOTAÇÃO ORÇAMENTÁRIA</w:t>
      </w:r>
      <w:bookmarkEnd w:id="16"/>
    </w:p>
    <w:p>
      <w:pPr>
        <w:pStyle w:val="4"/>
        <w:numPr>
          <w:ilvl w:val="0"/>
          <w:numId w:val="0"/>
        </w:numPr>
        <w:ind w:left="851"/>
        <w:rPr>
          <w:szCs w:val="20"/>
          <w:highlight w:val="none"/>
        </w:rPr>
      </w:pPr>
      <w:bookmarkStart w:id="17" w:name="_Ref449450747"/>
    </w:p>
    <w:p>
      <w:pPr>
        <w:pStyle w:val="4"/>
        <w:ind w:left="851" w:hanging="851"/>
        <w:rPr>
          <w:szCs w:val="20"/>
          <w:highlight w:val="none"/>
        </w:rPr>
      </w:pPr>
      <w:r>
        <w:rPr>
          <w:szCs w:val="20"/>
          <w:highlight w:val="none"/>
        </w:rPr>
        <w:t xml:space="preserve">O valor estimado global para a contratação das obras e serviços de engenharia objeto deste Termo de Referência é de </w:t>
      </w:r>
      <w:r>
        <w:rPr>
          <w:rFonts w:hint="default"/>
          <w:szCs w:val="20"/>
          <w:highlight w:val="none"/>
        </w:rPr>
        <w:t xml:space="preserve"> R$ 1.184.353,58</w:t>
      </w:r>
      <w:r>
        <w:rPr>
          <w:szCs w:val="20"/>
          <w:highlight w:val="none"/>
        </w:rPr>
        <w:t xml:space="preserve"> (um milh</w:t>
      </w:r>
      <w:r>
        <w:rPr>
          <w:rFonts w:hint="default"/>
          <w:szCs w:val="20"/>
          <w:highlight w:val="none"/>
          <w:lang w:val="pt-BR"/>
        </w:rPr>
        <w:t>ão e</w:t>
      </w:r>
      <w:r>
        <w:rPr>
          <w:szCs w:val="20"/>
          <w:highlight w:val="none"/>
        </w:rPr>
        <w:t xml:space="preserve"> </w:t>
      </w:r>
      <w:r>
        <w:rPr>
          <w:rFonts w:hint="default"/>
          <w:szCs w:val="20"/>
          <w:highlight w:val="none"/>
          <w:lang w:val="pt-BR"/>
        </w:rPr>
        <w:t>cento e oitenta e quatro mil e trezentos e cinquenta e três reais e cinquenta e oito centavos</w:t>
      </w:r>
      <w:r>
        <w:rPr>
          <w:szCs w:val="20"/>
          <w:highlight w:val="none"/>
        </w:rPr>
        <w:t>).</w:t>
      </w:r>
    </w:p>
    <w:bookmarkEnd w:id="17"/>
    <w:p>
      <w:pPr>
        <w:rPr>
          <w:color w:val="0070C0"/>
          <w:szCs w:val="20"/>
          <w:highlight w:val="none"/>
          <w:u w:val="single"/>
        </w:rPr>
      </w:pPr>
    </w:p>
    <w:p>
      <w:pPr>
        <w:pStyle w:val="4"/>
        <w:ind w:left="851" w:hanging="851"/>
        <w:rPr>
          <w:szCs w:val="20"/>
          <w:highlight w:val="none"/>
        </w:rPr>
      </w:pPr>
      <w:r>
        <w:rPr>
          <w:szCs w:val="20"/>
          <w:highlight w:val="none"/>
        </w:rPr>
        <w:t xml:space="preserve">Estão inclusos no valor acima, o BDI, os encargos sociais, as taxas, os impostos e os emolumentos. Os quantitativos e os preços de referência da Codevasf para os itens necessários à execução do objeto constam da Planilha de Custos do Valor do Orçamento de Referência – </w:t>
      </w:r>
      <w:r>
        <w:rPr>
          <w:highlight w:val="none"/>
        </w:rPr>
        <w:fldChar w:fldCharType="begin"/>
      </w:r>
      <w:r>
        <w:rPr>
          <w:highlight w:val="none"/>
        </w:rPr>
        <w:instrText xml:space="preserve"> REF _Ref450205931 \h  \* MERGEFORMAT </w:instrText>
      </w:r>
      <w:r>
        <w:rPr>
          <w:highlight w:val="none"/>
        </w:rPr>
        <w:fldChar w:fldCharType="separate"/>
      </w:r>
      <w:r>
        <w:rPr>
          <w:szCs w:val="20"/>
          <w:highlight w:val="none"/>
        </w:rPr>
        <w:t xml:space="preserve">Anexo </w:t>
      </w:r>
      <w:r>
        <w:rPr>
          <w:szCs w:val="20"/>
          <w:highlight w:val="none"/>
        </w:rPr>
        <w:fldChar w:fldCharType="end"/>
      </w:r>
      <w:r>
        <w:rPr>
          <w:szCs w:val="20"/>
          <w:highlight w:val="none"/>
        </w:rPr>
        <w:t>, parte integrante deste Termo de Referência.</w:t>
      </w:r>
    </w:p>
    <w:p>
      <w:pPr>
        <w:pStyle w:val="4"/>
        <w:numPr>
          <w:ilvl w:val="0"/>
          <w:numId w:val="0"/>
        </w:numPr>
        <w:rPr>
          <w:szCs w:val="20"/>
          <w:highlight w:val="none"/>
        </w:rPr>
      </w:pPr>
    </w:p>
    <w:p>
      <w:pPr>
        <w:pStyle w:val="4"/>
        <w:ind w:left="851" w:hanging="851"/>
        <w:rPr>
          <w:szCs w:val="20"/>
          <w:highlight w:val="none"/>
        </w:rPr>
      </w:pPr>
      <w:r>
        <w:rPr>
          <w:szCs w:val="20"/>
          <w:highlight w:val="none"/>
        </w:rPr>
        <w:t xml:space="preserve">O valor estimado para a contratação foi elaborado com base no Sistema de Preços, Custos e Índices da Caixa Econômica Federal (SINAPI), na Tabela de Preços de Serviços da Embasa e em Pesquisa de Preços de Mercado para o estado da Bahia, na data-base de </w:t>
      </w:r>
      <w:r>
        <w:rPr>
          <w:rFonts w:hint="default"/>
          <w:szCs w:val="20"/>
          <w:highlight w:val="none"/>
          <w:lang w:val="pt-BR"/>
        </w:rPr>
        <w:t>10</w:t>
      </w:r>
      <w:r>
        <w:rPr>
          <w:szCs w:val="20"/>
          <w:highlight w:val="none"/>
        </w:rPr>
        <w:t>/2021, não desonerado, atendendo ao disposto na Lei nº 13.303, de 30/06/2016, e no Decreto nº 7.983, de 08/04/2013, já inclusos o BDI, encargos sociais, taxas, impostos e emolumentos.</w:t>
      </w:r>
    </w:p>
    <w:p>
      <w:pPr>
        <w:pStyle w:val="4"/>
        <w:numPr>
          <w:ilvl w:val="0"/>
          <w:numId w:val="0"/>
        </w:numPr>
        <w:rPr>
          <w:szCs w:val="20"/>
          <w:highlight w:val="none"/>
        </w:rPr>
      </w:pPr>
    </w:p>
    <w:p>
      <w:pPr>
        <w:pStyle w:val="4"/>
        <w:ind w:left="851" w:hanging="851"/>
        <w:rPr>
          <w:szCs w:val="20"/>
          <w:highlight w:val="none"/>
        </w:rPr>
      </w:pPr>
      <w:r>
        <w:rPr>
          <w:szCs w:val="20"/>
          <w:highlight w:val="none"/>
        </w:rPr>
        <w:t>As despesas correrão à conta do</w:t>
      </w:r>
      <w:r>
        <w:rPr>
          <w:rFonts w:hint="default"/>
          <w:szCs w:val="20"/>
          <w:highlight w:val="none"/>
          <w:lang w:val="pt-BR"/>
        </w:rPr>
        <w:t xml:space="preserve"> Programa de Trabalho 15. 244. 2217. 7K66. 0001 - Apoio a Projetos de Desenvolvimento Sustentável Local Integrado - Nacional.</w:t>
      </w:r>
    </w:p>
    <w:p>
      <w:pPr>
        <w:rPr>
          <w:highlight w:val="none"/>
          <w:lang w:eastAsia="pt-BR"/>
        </w:rPr>
      </w:pPr>
    </w:p>
    <w:p>
      <w:pPr>
        <w:pStyle w:val="4"/>
        <w:ind w:left="851" w:hanging="851"/>
        <w:rPr>
          <w:szCs w:val="20"/>
          <w:highlight w:val="none"/>
        </w:rPr>
      </w:pPr>
      <w:r>
        <w:rPr>
          <w:szCs w:val="20"/>
          <w:highlight w:val="none"/>
        </w:rPr>
        <w:t>O orçamento estimado estará disponível permanentemente aos órgãos de controle externo e interno.</w:t>
      </w:r>
    </w:p>
    <w:p>
      <w:pPr>
        <w:rPr>
          <w:szCs w:val="20"/>
          <w:highlight w:val="none"/>
        </w:rPr>
      </w:pPr>
    </w:p>
    <w:p>
      <w:pPr>
        <w:pStyle w:val="2"/>
        <w:ind w:left="851" w:hanging="851"/>
        <w:rPr>
          <w:szCs w:val="20"/>
          <w:highlight w:val="none"/>
        </w:rPr>
      </w:pPr>
      <w:bookmarkStart w:id="18" w:name="_Ref399859802"/>
      <w:bookmarkStart w:id="19" w:name="_Ref400449100"/>
      <w:bookmarkStart w:id="20" w:name="_Toc12459"/>
      <w:r>
        <w:rPr>
          <w:szCs w:val="20"/>
          <w:highlight w:val="none"/>
        </w:rPr>
        <w:t>PRAZO DE EXECUÇÃO</w:t>
      </w:r>
      <w:bookmarkEnd w:id="18"/>
      <w:bookmarkEnd w:id="19"/>
      <w:r>
        <w:rPr>
          <w:szCs w:val="20"/>
          <w:highlight w:val="none"/>
        </w:rPr>
        <w:t xml:space="preserve"> DOS SERVIÇOS E PRAZO DE VIGÊNCIA DO CONTRATO</w:t>
      </w:r>
      <w:bookmarkEnd w:id="20"/>
    </w:p>
    <w:p>
      <w:pPr>
        <w:rPr>
          <w:szCs w:val="20"/>
          <w:highlight w:val="none"/>
        </w:rPr>
      </w:pPr>
    </w:p>
    <w:p>
      <w:pPr>
        <w:pStyle w:val="4"/>
        <w:ind w:left="851" w:hanging="851"/>
        <w:rPr>
          <w:szCs w:val="20"/>
          <w:highlight w:val="none"/>
        </w:rPr>
      </w:pPr>
      <w:bookmarkStart w:id="21" w:name="_Ref441156019"/>
      <w:r>
        <w:rPr>
          <w:szCs w:val="20"/>
          <w:highlight w:val="none"/>
        </w:rPr>
        <w:t xml:space="preserve">O prazo máximo de execução do objeto é de </w:t>
      </w:r>
      <w:r>
        <w:rPr>
          <w:rFonts w:hint="default"/>
          <w:szCs w:val="20"/>
          <w:highlight w:val="none"/>
          <w:lang w:val="pt-BR"/>
        </w:rPr>
        <w:t>120</w:t>
      </w:r>
      <w:r>
        <w:rPr>
          <w:szCs w:val="20"/>
          <w:highlight w:val="none"/>
        </w:rPr>
        <w:t xml:space="preserve"> (</w:t>
      </w:r>
      <w:r>
        <w:rPr>
          <w:rFonts w:hint="default"/>
          <w:szCs w:val="20"/>
          <w:highlight w:val="none"/>
          <w:lang w:val="pt-BR"/>
        </w:rPr>
        <w:t xml:space="preserve">cento </w:t>
      </w:r>
      <w:r>
        <w:rPr>
          <w:szCs w:val="20"/>
          <w:highlight w:val="none"/>
        </w:rPr>
        <w:t xml:space="preserve">e </w:t>
      </w:r>
      <w:r>
        <w:rPr>
          <w:rFonts w:hint="default"/>
          <w:szCs w:val="20"/>
          <w:highlight w:val="none"/>
          <w:lang w:val="pt-BR"/>
        </w:rPr>
        <w:t>vinte</w:t>
      </w:r>
      <w:r>
        <w:rPr>
          <w:szCs w:val="20"/>
          <w:highlight w:val="none"/>
        </w:rPr>
        <w:t>)</w:t>
      </w:r>
      <w:r>
        <w:rPr>
          <w:rFonts w:hint="default"/>
          <w:szCs w:val="20"/>
          <w:highlight w:val="none"/>
          <w:lang w:val="pt-BR"/>
        </w:rPr>
        <w:t xml:space="preserve"> </w:t>
      </w:r>
      <w:r>
        <w:rPr>
          <w:szCs w:val="20"/>
          <w:highlight w:val="none"/>
        </w:rPr>
        <w:t xml:space="preserve">dias consecutivos, contados a partir da emissão da </w:t>
      </w:r>
      <w:r>
        <w:rPr>
          <w:szCs w:val="20"/>
          <w:highlight w:val="none"/>
          <w:u w:val="single"/>
        </w:rPr>
        <w:t>Ordem de Serviço</w:t>
      </w:r>
      <w:r>
        <w:rPr>
          <w:szCs w:val="20"/>
          <w:highlight w:val="none"/>
        </w:rPr>
        <w:t>, podendo ser prorrogado, mediante manifestação expressa das partes.</w:t>
      </w:r>
    </w:p>
    <w:p>
      <w:pPr>
        <w:rPr>
          <w:highlight w:val="none"/>
          <w:lang w:eastAsia="pt-BR"/>
        </w:rPr>
      </w:pPr>
    </w:p>
    <w:p>
      <w:pPr>
        <w:pStyle w:val="4"/>
        <w:ind w:left="851" w:hanging="851"/>
        <w:rPr>
          <w:szCs w:val="20"/>
          <w:highlight w:val="none"/>
        </w:rPr>
      </w:pPr>
      <w:r>
        <w:rPr>
          <w:szCs w:val="20"/>
          <w:highlight w:val="none"/>
        </w:rPr>
        <w:t xml:space="preserve">O prazo de vigência do contrato é de </w:t>
      </w:r>
      <w:r>
        <w:rPr>
          <w:rFonts w:hint="default"/>
          <w:szCs w:val="20"/>
          <w:highlight w:val="none"/>
          <w:lang w:val="pt-BR"/>
        </w:rPr>
        <w:t>210</w:t>
      </w:r>
      <w:r>
        <w:rPr>
          <w:szCs w:val="20"/>
          <w:highlight w:val="none"/>
        </w:rPr>
        <w:t xml:space="preserve"> (quatrocentos e oitenta) dias consecutivos, contados a partir da </w:t>
      </w:r>
      <w:r>
        <w:rPr>
          <w:szCs w:val="20"/>
          <w:highlight w:val="none"/>
          <w:u w:val="single"/>
        </w:rPr>
        <w:t>Assinatura do Contrato</w:t>
      </w:r>
      <w:r>
        <w:rPr>
          <w:szCs w:val="20"/>
          <w:highlight w:val="none"/>
        </w:rPr>
        <w:t>, podendo ser prorrogado, mediante manifestação expressa das partes.</w:t>
      </w:r>
    </w:p>
    <w:p>
      <w:pPr>
        <w:rPr>
          <w:szCs w:val="20"/>
          <w:highlight w:val="none"/>
        </w:rPr>
      </w:pPr>
    </w:p>
    <w:p>
      <w:pPr>
        <w:pStyle w:val="4"/>
        <w:ind w:left="851" w:hanging="851"/>
        <w:rPr>
          <w:sz w:val="21"/>
          <w:szCs w:val="20"/>
          <w:highlight w:val="none"/>
        </w:rPr>
      </w:pPr>
      <w:r>
        <w:rPr>
          <w:sz w:val="21"/>
          <w:szCs w:val="20"/>
          <w:highlight w:val="none"/>
        </w:rPr>
        <w:t>A emissão da “Ordem de Serviço” somente se efetivará após a publicação do extrato do Contrato no “Diário Oficial da União”, entrega das “Garantias de Cumprimento do Contrato e Riscos de Engenharia” na Unidade de Finanças da Codevasf e após emissão, pelo órgão competente, da respectiva Licença Ambiental e, quando for o caso, da Autorização de Supressão Vegetal – ASV.</w:t>
      </w:r>
    </w:p>
    <w:p>
      <w:pPr>
        <w:rPr>
          <w:szCs w:val="20"/>
          <w:highlight w:val="none"/>
        </w:rPr>
      </w:pPr>
    </w:p>
    <w:p>
      <w:pPr>
        <w:rPr>
          <w:highlight w:val="none"/>
          <w:lang w:eastAsia="pt-BR"/>
        </w:rPr>
      </w:pPr>
    </w:p>
    <w:bookmarkEnd w:id="21"/>
    <w:p>
      <w:pPr>
        <w:pStyle w:val="2"/>
        <w:ind w:left="851" w:hanging="851"/>
        <w:rPr>
          <w:szCs w:val="20"/>
          <w:highlight w:val="none"/>
        </w:rPr>
      </w:pPr>
      <w:bookmarkStart w:id="22" w:name="_Toc14049"/>
      <w:bookmarkStart w:id="23" w:name="_Ref400008254"/>
      <w:bookmarkStart w:id="24" w:name="_Ref399939982"/>
      <w:r>
        <w:rPr>
          <w:szCs w:val="20"/>
          <w:highlight w:val="none"/>
        </w:rPr>
        <w:t>FORMAS E CONDIÇÕES DE PAGAMENTO</w:t>
      </w:r>
      <w:bookmarkEnd w:id="22"/>
    </w:p>
    <w:p>
      <w:pPr>
        <w:rPr>
          <w:bCs/>
          <w:color w:val="FF0000"/>
          <w:szCs w:val="20"/>
          <w:highlight w:val="none"/>
        </w:rPr>
      </w:pPr>
    </w:p>
    <w:p>
      <w:pPr>
        <w:pStyle w:val="4"/>
        <w:ind w:left="851" w:hanging="851"/>
        <w:rPr>
          <w:szCs w:val="20"/>
          <w:highlight w:val="none"/>
        </w:rPr>
      </w:pPr>
      <w:r>
        <w:rPr>
          <w:szCs w:val="20"/>
          <w:highlight w:val="none"/>
        </w:rPr>
        <w:t>Os pagamentos das obras e serviços de engenharia serão efetuados em reais, com base nas medições mensais, dos serviços efetivamente executados, obedecendo aos preços unitários apresentados pela CONTRATADA em sua proposta, e contra a apresentação da Fatura/Notas Fiscais, devidamente atestada pela fiscalização da Codevasf, formalmente designada, e do respectivo Boletim de medição referente ao mês de competência, observando-se o disposto nos subitens seguintes:</w:t>
      </w:r>
    </w:p>
    <w:p>
      <w:pPr>
        <w:rPr>
          <w:highlight w:val="none"/>
        </w:rPr>
      </w:pPr>
    </w:p>
    <w:p>
      <w:pPr>
        <w:pStyle w:val="5"/>
        <w:ind w:left="802" w:hanging="802" w:hangingChars="401"/>
        <w:rPr>
          <w:highlight w:val="none"/>
        </w:rPr>
      </w:pPr>
      <w:r>
        <w:rPr>
          <w:highlight w:val="none"/>
        </w:rPr>
        <w:t>A Codevasf somente pagará a CONTRATADA pelos serviços efetivamente executados, com base nos preços integrantes da proposta aprovada e, caso aplicável, a incidência de reajustamento e reequilíbrio econômico financeiro e atualização financeira.</w:t>
      </w:r>
    </w:p>
    <w:p>
      <w:pPr>
        <w:ind w:left="802" w:hanging="802" w:hangingChars="401"/>
        <w:rPr>
          <w:szCs w:val="20"/>
          <w:highlight w:val="none"/>
        </w:rPr>
      </w:pPr>
    </w:p>
    <w:p>
      <w:pPr>
        <w:pStyle w:val="5"/>
        <w:ind w:left="802" w:hanging="802" w:hangingChars="401"/>
        <w:rPr>
          <w:highlight w:val="none"/>
        </w:rPr>
      </w:pPr>
      <w:r>
        <w:rPr>
          <w:highlight w:val="none"/>
        </w:rPr>
        <w:t>Somente serão pagos os materiais e equipamentos instalados, assentados e utilizados, mediante atesto pelo fiscal do contrato.</w:t>
      </w:r>
    </w:p>
    <w:p>
      <w:pPr>
        <w:ind w:left="802" w:hanging="802" w:hangingChars="401"/>
        <w:rPr>
          <w:szCs w:val="20"/>
          <w:highlight w:val="none"/>
        </w:rPr>
      </w:pPr>
    </w:p>
    <w:p>
      <w:pPr>
        <w:pStyle w:val="5"/>
        <w:ind w:left="802" w:hanging="802" w:hangingChars="401"/>
        <w:rPr>
          <w:highlight w:val="none"/>
        </w:rPr>
      </w:pPr>
      <w:r>
        <w:rPr>
          <w:highlight w:val="none"/>
        </w:rPr>
        <w:t>Nos preços apresentados pela Licitante deverão estar incluídos todos os custos diretos e indiretos para a execução das obras e dos serviços, de acordo com as condições previstas no Edital e seus anexos, constituindo-se na única remuneração possível de ser atribuída pelos trabalhos contratados e executados.</w:t>
      </w:r>
    </w:p>
    <w:p>
      <w:pPr>
        <w:rPr>
          <w:highlight w:val="none"/>
          <w:lang w:eastAsia="pt-BR"/>
        </w:rPr>
      </w:pPr>
    </w:p>
    <w:p>
      <w:pPr>
        <w:pStyle w:val="4"/>
        <w:ind w:left="851" w:hanging="851"/>
        <w:rPr>
          <w:szCs w:val="20"/>
          <w:highlight w:val="none"/>
        </w:rPr>
      </w:pPr>
      <w:r>
        <w:rPr>
          <w:szCs w:val="20"/>
          <w:highlight w:val="none"/>
        </w:rPr>
        <w:t>O pagamento da instalação do canteiro, mobilização e desmobilização será no valor apresentado na proposta da Licitante, respeitado o valor máximo constante da Planilha de Custos do Valor do Orçamento de Referência –</w:t>
      </w:r>
      <w:r>
        <w:rPr>
          <w:szCs w:val="20"/>
          <w:highlight w:val="none"/>
        </w:rPr>
        <w:fldChar w:fldCharType="begin"/>
      </w:r>
      <w:r>
        <w:rPr>
          <w:szCs w:val="20"/>
          <w:highlight w:val="none"/>
        </w:rPr>
        <w:instrText xml:space="preserve"> REF _Ref78987220 \h </w:instrText>
      </w:r>
      <w:r>
        <w:rPr>
          <w:szCs w:val="20"/>
          <w:highlight w:val="none"/>
        </w:rPr>
        <w:fldChar w:fldCharType="separate"/>
      </w:r>
      <w:r>
        <w:rPr>
          <w:szCs w:val="20"/>
          <w:highlight w:val="none"/>
        </w:rPr>
        <w:t>Anexo III</w:t>
      </w:r>
      <w:r>
        <w:rPr>
          <w:szCs w:val="20"/>
          <w:highlight w:val="none"/>
        </w:rPr>
        <w:fldChar w:fldCharType="end"/>
      </w:r>
      <w:r>
        <w:rPr>
          <w:szCs w:val="20"/>
          <w:highlight w:val="none"/>
        </w:rPr>
        <w:t>, que integra o presente TR, da seguinte forma:</w:t>
      </w:r>
    </w:p>
    <w:p>
      <w:pPr>
        <w:rPr>
          <w:szCs w:val="20"/>
          <w:highlight w:val="none"/>
        </w:rPr>
      </w:pPr>
    </w:p>
    <w:p>
      <w:pPr>
        <w:pStyle w:val="3"/>
        <w:numPr>
          <w:ilvl w:val="0"/>
          <w:numId w:val="19"/>
        </w:numPr>
        <w:ind w:left="1355" w:hanging="357"/>
        <w:rPr>
          <w:szCs w:val="20"/>
          <w:highlight w:val="none"/>
        </w:rPr>
      </w:pPr>
      <w:r>
        <w:rPr>
          <w:szCs w:val="20"/>
          <w:highlight w:val="none"/>
        </w:rPr>
        <w:t>Instalação do canteiro: devidamente instalado e de acordo com o cronograma físico-financeiro proposto;</w:t>
      </w:r>
    </w:p>
    <w:p>
      <w:pPr>
        <w:pStyle w:val="3"/>
        <w:ind w:left="1355" w:hanging="357"/>
        <w:rPr>
          <w:szCs w:val="20"/>
          <w:highlight w:val="none"/>
        </w:rPr>
      </w:pPr>
      <w:r>
        <w:rPr>
          <w:szCs w:val="20"/>
          <w:highlight w:val="none"/>
        </w:rPr>
        <w:t>Mobilização: serão medidos e pagos</w:t>
      </w:r>
      <w:r>
        <w:rPr>
          <w:rFonts w:hint="default"/>
          <w:szCs w:val="20"/>
          <w:highlight w:val="none"/>
          <w:lang w:val="pt-BR"/>
        </w:rPr>
        <w:t xml:space="preserve"> </w:t>
      </w:r>
      <w:r>
        <w:rPr>
          <w:szCs w:val="20"/>
          <w:highlight w:val="none"/>
        </w:rPr>
        <w:t>proporcionalmente ao efetivamente realizado.</w:t>
      </w:r>
    </w:p>
    <w:p>
      <w:pPr>
        <w:pStyle w:val="3"/>
        <w:ind w:left="1359"/>
        <w:rPr>
          <w:szCs w:val="20"/>
          <w:highlight w:val="none"/>
        </w:rPr>
      </w:pPr>
      <w:r>
        <w:rPr>
          <w:szCs w:val="20"/>
          <w:highlight w:val="none"/>
        </w:rPr>
        <w:t>Desmobilização: após a total desmobilização, comprovada pela Fiscalização.</w:t>
      </w:r>
    </w:p>
    <w:p>
      <w:pPr>
        <w:pStyle w:val="4"/>
        <w:numPr>
          <w:ilvl w:val="0"/>
          <w:numId w:val="0"/>
        </w:numPr>
        <w:ind w:left="851"/>
        <w:rPr>
          <w:szCs w:val="20"/>
          <w:highlight w:val="none"/>
        </w:rPr>
      </w:pPr>
    </w:p>
    <w:p>
      <w:pPr>
        <w:pStyle w:val="4"/>
        <w:ind w:left="851" w:hanging="851"/>
        <w:rPr>
          <w:sz w:val="21"/>
          <w:szCs w:val="20"/>
          <w:highlight w:val="none"/>
        </w:rPr>
      </w:pPr>
      <w:r>
        <w:rPr>
          <w:sz w:val="21"/>
          <w:szCs w:val="20"/>
          <w:highlight w:val="none"/>
        </w:rPr>
        <w:t>Administração Local e Manutenção de Canteiro (AM) – será pago conforme o percentual de serviços executados (execução física) no período, conforme a fórmula abaixo, limitando-se ao recurso total destinado para o item, sendo que ao final da obra o item será pago 100%.</w:t>
      </w:r>
    </w:p>
    <w:p>
      <w:pPr>
        <w:rPr>
          <w:szCs w:val="20"/>
          <w:highlight w:val="none"/>
        </w:rPr>
      </w:pPr>
    </w:p>
    <w:p>
      <w:pPr>
        <w:jc w:val="center"/>
        <w:rPr>
          <w:rFonts w:eastAsiaTheme="minorEastAsia"/>
          <w:szCs w:val="20"/>
          <w:highlight w:val="none"/>
        </w:rPr>
      </w:pPr>
      <m:oMathPara>
        <m:oMathParaPr>
          <m:jc m:val="center"/>
        </m:oMathParaPr>
        <m:oMath>
          <m:r>
            <w:rPr>
              <w:rFonts w:ascii="Cambria Math" w:hAnsi="Cambria Math"/>
              <w:szCs w:val="20"/>
              <w:highlight w:val="none"/>
            </w:rPr>
            <m:t>%AM=</m:t>
          </m:r>
          <m:f>
            <m:fPr>
              <m:ctrlPr>
                <w:rPr>
                  <w:rFonts w:ascii="Cambria Math" w:hAnsi="Cambria Math"/>
                  <w:i/>
                  <w:szCs w:val="20"/>
                  <w:highlight w:val="none"/>
                </w:rPr>
              </m:ctrlPr>
            </m:fPr>
            <m:num>
              <m:r>
                <w:rPr>
                  <w:rFonts w:ascii="Cambria Math" w:hAnsi="Cambria Math"/>
                  <w:szCs w:val="20"/>
                  <w:highlight w:val="none"/>
                </w:rPr>
                <m:t>Valor da Medição Sem AM</m:t>
              </m:r>
              <m:ctrlPr>
                <w:rPr>
                  <w:rFonts w:ascii="Cambria Math" w:hAnsi="Cambria Math"/>
                  <w:i/>
                  <w:szCs w:val="20"/>
                  <w:highlight w:val="none"/>
                </w:rPr>
              </m:ctrlPr>
            </m:num>
            <m:den>
              <m:r>
                <w:rPr>
                  <w:rFonts w:ascii="Cambria Math" w:hAnsi="Cambria Math"/>
                  <w:szCs w:val="20"/>
                  <w:highlight w:val="none"/>
                </w:rPr>
                <m:t xml:space="preserve">Valor do Contrato </m:t>
              </m:r>
              <m:d>
                <m:dPr>
                  <m:ctrlPr>
                    <w:rPr>
                      <w:rFonts w:ascii="Cambria Math" w:hAnsi="Cambria Math"/>
                      <w:i/>
                      <w:szCs w:val="20"/>
                      <w:highlight w:val="none"/>
                    </w:rPr>
                  </m:ctrlPr>
                </m:dPr>
                <m:e>
                  <m:r>
                    <w:rPr>
                      <w:rFonts w:ascii="Cambria Math" w:hAnsi="Cambria Math"/>
                      <w:szCs w:val="20"/>
                      <w:highlight w:val="none"/>
                    </w:rPr>
                    <m:t>incluso aditivo financeiro</m:t>
                  </m:r>
                  <m:ctrlPr>
                    <w:rPr>
                      <w:rFonts w:ascii="Cambria Math" w:hAnsi="Cambria Math"/>
                      <w:i/>
                      <w:szCs w:val="20"/>
                      <w:highlight w:val="none"/>
                    </w:rPr>
                  </m:ctrlPr>
                </m:e>
              </m:d>
              <m:r>
                <w:rPr>
                  <w:rFonts w:ascii="Cambria Math" w:hAnsi="Cambria Math"/>
                  <w:szCs w:val="20"/>
                  <w:highlight w:val="none"/>
                </w:rPr>
                <m:t xml:space="preserve"> Sem AM</m:t>
              </m:r>
              <m:ctrlPr>
                <w:rPr>
                  <w:rFonts w:ascii="Cambria Math" w:hAnsi="Cambria Math"/>
                  <w:i/>
                  <w:szCs w:val="20"/>
                  <w:highlight w:val="none"/>
                </w:rPr>
              </m:ctrlPr>
            </m:den>
          </m:f>
        </m:oMath>
      </m:oMathPara>
    </w:p>
    <w:p>
      <w:pPr>
        <w:jc w:val="center"/>
        <w:rPr>
          <w:rFonts w:eastAsiaTheme="minorEastAsia"/>
          <w:szCs w:val="20"/>
          <w:highlight w:val="none"/>
        </w:rPr>
      </w:pPr>
    </w:p>
    <w:p>
      <w:pPr>
        <w:rPr>
          <w:szCs w:val="20"/>
          <w:highlight w:val="none"/>
        </w:rPr>
      </w:pPr>
    </w:p>
    <w:p>
      <w:pPr>
        <w:pStyle w:val="5"/>
        <w:ind w:left="784" w:hanging="784" w:hangingChars="392"/>
        <w:rPr>
          <w:highlight w:val="none"/>
        </w:rPr>
      </w:pPr>
      <w:r>
        <w:rPr>
          <w:highlight w:val="none"/>
        </w:rPr>
        <w:t>Administração Local e Manutenção de Canteiro (AM) terá como unidade, na Planilha de Custos, a medida “global”, e será pago mensalmente o valor absoluto, com no máximo duas casas decimais, oriundo do produto entre o percentual da fórmula supracitada e o valor total da “AM”.</w:t>
      </w:r>
    </w:p>
    <w:p>
      <w:pPr>
        <w:tabs>
          <w:tab w:val="left" w:pos="851"/>
        </w:tabs>
        <w:ind w:left="784" w:hanging="784" w:hangingChars="392"/>
        <w:rPr>
          <w:szCs w:val="20"/>
          <w:highlight w:val="none"/>
        </w:rPr>
      </w:pPr>
    </w:p>
    <w:p>
      <w:pPr>
        <w:pStyle w:val="5"/>
        <w:ind w:left="784" w:hanging="784" w:hangingChars="392"/>
        <w:rPr>
          <w:highlight w:val="none"/>
        </w:rPr>
      </w:pPr>
      <w:r>
        <w:rPr>
          <w:highlight w:val="none"/>
        </w:rPr>
        <w:t>Caso haja atraso no cronograma, por motivos ocasionados pela Codevasf, será pago o valor total da Administração Local e Manutenção de Canteiro (AM) prevista no período da medição.</w:t>
      </w:r>
    </w:p>
    <w:p>
      <w:pPr>
        <w:tabs>
          <w:tab w:val="left" w:pos="851"/>
        </w:tabs>
        <w:ind w:left="784" w:hanging="784" w:hangingChars="392"/>
        <w:rPr>
          <w:szCs w:val="20"/>
          <w:highlight w:val="none"/>
        </w:rPr>
      </w:pPr>
    </w:p>
    <w:p>
      <w:pPr>
        <w:pStyle w:val="5"/>
        <w:ind w:left="784" w:hanging="784" w:hangingChars="392"/>
        <w:rPr>
          <w:highlight w:val="none"/>
        </w:rPr>
      </w:pPr>
      <w:r>
        <w:rPr>
          <w:highlight w:val="none"/>
        </w:rPr>
        <w:t>O aditivo financeiro da Administração Local/Manutenção do canteiro de obras (AM) não está atrelado à prorrogação de prazo contratual. Seu acréscimo decorre apenas em virtude de acréscimos financeiros realizados ao contrato, por meio de aditivos de valor. Além disso, a CONTRATADA deverá demonstrar efetivamente o acréscimo da estrutura de Administração Local/Manutenção do canteiro de obras (AM), disponibilizada para execução dos serviços.</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O cronograma físico-financeiro apresentado pela licitante deve atender as exigências deste TR e ser entendido como primeira estimativa de evento dos serviços objeto desta licitação. Com base nesse cronograma de licitação, será ajustado um cronograma de execução de acordo com a programação física e financeira existente por ocasião da emissão da ordem de serviço, ou durante a execução do contrato, desde que devidamente autuado em processo, contemporâneo à sua ocorrência.</w:t>
      </w:r>
    </w:p>
    <w:p>
      <w:pPr>
        <w:rPr>
          <w:szCs w:val="20"/>
          <w:highlight w:val="none"/>
        </w:rPr>
      </w:pPr>
    </w:p>
    <w:bookmarkEnd w:id="23"/>
    <w:p>
      <w:pPr>
        <w:rPr>
          <w:szCs w:val="20"/>
          <w:highlight w:val="none"/>
        </w:rPr>
      </w:pPr>
    </w:p>
    <w:p>
      <w:pPr>
        <w:pStyle w:val="2"/>
        <w:ind w:left="851" w:hanging="851"/>
        <w:rPr>
          <w:szCs w:val="20"/>
          <w:highlight w:val="none"/>
        </w:rPr>
      </w:pPr>
      <w:bookmarkStart w:id="25" w:name="_Ref400457614"/>
      <w:bookmarkStart w:id="26" w:name="_Toc18754"/>
      <w:r>
        <w:rPr>
          <w:szCs w:val="20"/>
          <w:highlight w:val="none"/>
        </w:rPr>
        <w:t>REAJUSTAMENTO</w:t>
      </w:r>
      <w:bookmarkEnd w:id="24"/>
      <w:bookmarkEnd w:id="25"/>
      <w:bookmarkEnd w:id="26"/>
    </w:p>
    <w:p>
      <w:pPr>
        <w:ind w:left="851" w:hanging="851"/>
        <w:rPr>
          <w:szCs w:val="20"/>
          <w:highlight w:val="none"/>
        </w:rPr>
      </w:pPr>
    </w:p>
    <w:p>
      <w:pPr>
        <w:pStyle w:val="4"/>
        <w:ind w:left="851" w:hanging="851"/>
        <w:rPr>
          <w:szCs w:val="20"/>
          <w:highlight w:val="none"/>
        </w:rPr>
      </w:pPr>
      <w:r>
        <w:rPr>
          <w:szCs w:val="20"/>
          <w:highlight w:val="none"/>
        </w:rPr>
        <w:t>Os preços permanecerão válidos por um período de um ano, contados da data de apresentação da proposta. Após este prazo serão reajustados aplicando-se a seguinte fórmula (desde que todos os índices tenham a mesma data base):</w:t>
      </w:r>
    </w:p>
    <w:p>
      <w:pPr>
        <w:rPr>
          <w:rFonts w:eastAsiaTheme="minorEastAsia"/>
          <w:bCs/>
          <w:szCs w:val="20"/>
          <w:highlight w:val="none"/>
        </w:rPr>
      </w:pPr>
    </w:p>
    <w:p>
      <w:pPr>
        <w:rPr>
          <w:szCs w:val="20"/>
          <w:highlight w:val="none"/>
        </w:rPr>
      </w:pPr>
      <m:oMathPara>
        <m:oMathParaPr>
          <m:jc m:val="center"/>
        </m:oMathParaPr>
        <m:oMath>
          <m:r>
            <m:rPr>
              <m:sty m:val="bi"/>
            </m:rPr>
            <w:rPr>
              <w:rFonts w:ascii="Cambria Math" w:hAnsi="Cambria Math"/>
              <w:szCs w:val="20"/>
              <w:highlight w:val="none"/>
            </w:rPr>
            <m:t>R</m:t>
          </m:r>
          <m:r>
            <m:rPr>
              <m:sty m:val="p"/>
            </m:rPr>
            <w:rPr>
              <w:rFonts w:ascii="Cambria Math" w:hAnsi="Cambria Math"/>
              <w:szCs w:val="20"/>
              <w:highlight w:val="none"/>
            </w:rPr>
            <m:t>=</m:t>
          </m:r>
          <m:r>
            <m:rPr>
              <m:sty m:val="bi"/>
            </m:rPr>
            <w:rPr>
              <w:rFonts w:ascii="Cambria Math" w:hAnsi="Cambria Math"/>
              <w:szCs w:val="20"/>
              <w:highlight w:val="none"/>
            </w:rPr>
            <m:t>Vx</m:t>
          </m:r>
          <m:d>
            <m:dPr>
              <m:begChr m:val="["/>
              <m:endChr m:val="]"/>
              <m:ctrlPr>
                <w:rPr>
                  <w:rFonts w:ascii="Cambria Math" w:hAnsi="Cambria Math"/>
                  <w:szCs w:val="20"/>
                  <w:highlight w:val="none"/>
                </w:rPr>
              </m:ctrlPr>
            </m:dPr>
            <m:e>
              <m:r>
                <w:rPr>
                  <w:rFonts w:ascii="Cambria Math" w:hAnsi="Cambria Math"/>
                  <w:szCs w:val="20"/>
                  <w:highlight w:val="none"/>
                </w:rPr>
                <m:t xml:space="preserve">N1 x </m:t>
              </m:r>
              <m:f>
                <m:fPr>
                  <m:ctrlPr>
                    <w:rPr>
                      <w:rFonts w:ascii="Cambria Math" w:hAnsi="Cambria Math"/>
                      <w:i/>
                      <w:szCs w:val="20"/>
                      <w:highlight w:val="none"/>
                    </w:rPr>
                  </m:ctrlPr>
                </m:fPr>
                <m:num>
                  <m:r>
                    <w:rPr>
                      <w:rFonts w:ascii="Cambria Math" w:hAnsi="Cambria Math"/>
                      <w:szCs w:val="20"/>
                      <w:highlight w:val="none"/>
                    </w:rPr>
                    <m:t>Ti-To</m:t>
                  </m:r>
                  <m:ctrlPr>
                    <w:rPr>
                      <w:rFonts w:ascii="Cambria Math" w:hAnsi="Cambria Math"/>
                      <w:i/>
                      <w:szCs w:val="20"/>
                      <w:highlight w:val="none"/>
                    </w:rPr>
                  </m:ctrlPr>
                </m:num>
                <m:den>
                  <m:r>
                    <w:rPr>
                      <w:rFonts w:ascii="Cambria Math" w:hAnsi="Cambria Math"/>
                      <w:szCs w:val="20"/>
                      <w:highlight w:val="none"/>
                    </w:rPr>
                    <m:t>To</m:t>
                  </m:r>
                  <m:ctrlPr>
                    <w:rPr>
                      <w:rFonts w:ascii="Cambria Math" w:hAnsi="Cambria Math"/>
                      <w:i/>
                      <w:szCs w:val="20"/>
                      <w:highlight w:val="none"/>
                    </w:rPr>
                  </m:ctrlPr>
                </m:den>
              </m:f>
              <m:r>
                <w:rPr>
                  <w:rFonts w:ascii="Cambria Math" w:hAnsi="Cambria Math"/>
                  <w:szCs w:val="20"/>
                  <w:highlight w:val="none"/>
                </w:rPr>
                <m:t xml:space="preserve">+N2 x </m:t>
              </m:r>
              <m:f>
                <m:fPr>
                  <m:ctrlPr>
                    <w:rPr>
                      <w:rFonts w:ascii="Cambria Math" w:hAnsi="Cambria Math"/>
                      <w:i/>
                      <w:szCs w:val="20"/>
                      <w:highlight w:val="none"/>
                    </w:rPr>
                  </m:ctrlPr>
                </m:fPr>
                <m:num>
                  <m:r>
                    <w:rPr>
                      <w:rFonts w:ascii="Cambria Math" w:hAnsi="Cambria Math"/>
                      <w:szCs w:val="20"/>
                      <w:highlight w:val="none"/>
                    </w:rPr>
                    <m:t>Ei-Eo</m:t>
                  </m:r>
                  <m:ctrlPr>
                    <w:rPr>
                      <w:rFonts w:ascii="Cambria Math" w:hAnsi="Cambria Math"/>
                      <w:i/>
                      <w:szCs w:val="20"/>
                      <w:highlight w:val="none"/>
                    </w:rPr>
                  </m:ctrlPr>
                </m:num>
                <m:den>
                  <m:r>
                    <w:rPr>
                      <w:rFonts w:ascii="Cambria Math" w:hAnsi="Cambria Math"/>
                      <w:szCs w:val="20"/>
                      <w:highlight w:val="none"/>
                    </w:rPr>
                    <m:t>Eo</m:t>
                  </m:r>
                  <m:ctrlPr>
                    <w:rPr>
                      <w:rFonts w:ascii="Cambria Math" w:hAnsi="Cambria Math"/>
                      <w:i/>
                      <w:szCs w:val="20"/>
                      <w:highlight w:val="none"/>
                    </w:rPr>
                  </m:ctrlPr>
                </m:den>
              </m:f>
              <m:r>
                <w:rPr>
                  <w:rFonts w:ascii="Cambria Math" w:hAnsi="Cambria Math"/>
                  <w:szCs w:val="20"/>
                  <w:highlight w:val="none"/>
                </w:rPr>
                <m:t xml:space="preserve">+ N3 x </m:t>
              </m:r>
              <m:f>
                <m:fPr>
                  <m:ctrlPr>
                    <w:rPr>
                      <w:rFonts w:ascii="Cambria Math" w:hAnsi="Cambria Math"/>
                      <w:i/>
                      <w:szCs w:val="20"/>
                      <w:highlight w:val="none"/>
                    </w:rPr>
                  </m:ctrlPr>
                </m:fPr>
                <m:num>
                  <m:r>
                    <w:rPr>
                      <w:rFonts w:ascii="Cambria Math" w:hAnsi="Cambria Math"/>
                      <w:szCs w:val="20"/>
                      <w:highlight w:val="none"/>
                    </w:rPr>
                    <m:t>CAi-CAo</m:t>
                  </m:r>
                  <m:ctrlPr>
                    <w:rPr>
                      <w:rFonts w:ascii="Cambria Math" w:hAnsi="Cambria Math"/>
                      <w:i/>
                      <w:szCs w:val="20"/>
                      <w:highlight w:val="none"/>
                    </w:rPr>
                  </m:ctrlPr>
                </m:num>
                <m:den>
                  <m:r>
                    <w:rPr>
                      <w:rFonts w:ascii="Cambria Math" w:hAnsi="Cambria Math"/>
                      <w:szCs w:val="20"/>
                      <w:highlight w:val="none"/>
                    </w:rPr>
                    <m:t>CAo</m:t>
                  </m:r>
                  <m:ctrlPr>
                    <w:rPr>
                      <w:rFonts w:ascii="Cambria Math" w:hAnsi="Cambria Math"/>
                      <w:i/>
                      <w:szCs w:val="20"/>
                      <w:highlight w:val="none"/>
                    </w:rPr>
                  </m:ctrlPr>
                </m:den>
              </m:f>
              <m:r>
                <w:rPr>
                  <w:rFonts w:ascii="Cambria Math" w:hAnsi="Cambria Math"/>
                  <w:szCs w:val="20"/>
                  <w:highlight w:val="none"/>
                </w:rPr>
                <m:t xml:space="preserve">+ N4 x </m:t>
              </m:r>
              <m:f>
                <m:fPr>
                  <m:ctrlPr>
                    <w:rPr>
                      <w:rFonts w:ascii="Cambria Math" w:hAnsi="Cambria Math"/>
                      <w:i/>
                      <w:szCs w:val="20"/>
                      <w:highlight w:val="none"/>
                    </w:rPr>
                  </m:ctrlPr>
                </m:fPr>
                <m:num>
                  <m:r>
                    <w:rPr>
                      <w:rFonts w:ascii="Cambria Math" w:hAnsi="Cambria Math"/>
                      <w:szCs w:val="20"/>
                      <w:highlight w:val="none"/>
                    </w:rPr>
                    <m:t>MPi-MPo</m:t>
                  </m:r>
                  <m:ctrlPr>
                    <w:rPr>
                      <w:rFonts w:ascii="Cambria Math" w:hAnsi="Cambria Math"/>
                      <w:i/>
                      <w:szCs w:val="20"/>
                      <w:highlight w:val="none"/>
                    </w:rPr>
                  </m:ctrlPr>
                </m:num>
                <m:den>
                  <m:r>
                    <w:rPr>
                      <w:rFonts w:ascii="Cambria Math" w:hAnsi="Cambria Math"/>
                      <w:szCs w:val="20"/>
                      <w:highlight w:val="none"/>
                    </w:rPr>
                    <m:t>MPo</m:t>
                  </m:r>
                  <m:ctrlPr>
                    <w:rPr>
                      <w:rFonts w:ascii="Cambria Math" w:hAnsi="Cambria Math"/>
                      <w:i/>
                      <w:szCs w:val="20"/>
                      <w:highlight w:val="none"/>
                    </w:rPr>
                  </m:ctrlPr>
                </m:den>
              </m:f>
              <m:r>
                <w:rPr>
                  <w:rFonts w:ascii="Cambria Math" w:hAnsi="Cambria Math"/>
                  <w:szCs w:val="20"/>
                  <w:highlight w:val="none"/>
                </w:rPr>
                <m:t xml:space="preserve">+ N5 x </m:t>
              </m:r>
              <m:f>
                <m:fPr>
                  <m:ctrlPr>
                    <w:rPr>
                      <w:rFonts w:ascii="Cambria Math" w:hAnsi="Cambria Math"/>
                      <w:i/>
                      <w:szCs w:val="20"/>
                      <w:highlight w:val="none"/>
                    </w:rPr>
                  </m:ctrlPr>
                </m:fPr>
                <m:num>
                  <m:r>
                    <w:rPr>
                      <w:rFonts w:ascii="Cambria Math" w:hAnsi="Cambria Math"/>
                      <w:szCs w:val="20"/>
                      <w:highlight w:val="none"/>
                    </w:rPr>
                    <m:t>Fi-Fo</m:t>
                  </m:r>
                  <m:ctrlPr>
                    <w:rPr>
                      <w:rFonts w:ascii="Cambria Math" w:hAnsi="Cambria Math"/>
                      <w:i/>
                      <w:szCs w:val="20"/>
                      <w:highlight w:val="none"/>
                    </w:rPr>
                  </m:ctrlPr>
                </m:num>
                <m:den>
                  <m:r>
                    <w:rPr>
                      <w:rFonts w:ascii="Cambria Math" w:hAnsi="Cambria Math"/>
                      <w:szCs w:val="20"/>
                      <w:highlight w:val="none"/>
                    </w:rPr>
                    <m:t>Fo</m:t>
                  </m:r>
                  <m:ctrlPr>
                    <w:rPr>
                      <w:rFonts w:ascii="Cambria Math" w:hAnsi="Cambria Math"/>
                      <w:i/>
                      <w:szCs w:val="20"/>
                      <w:highlight w:val="none"/>
                    </w:rPr>
                  </m:ctrlPr>
                </m:den>
              </m:f>
              <m:r>
                <w:rPr>
                  <w:rFonts w:ascii="Cambria Math" w:hAnsi="Cambria Math"/>
                  <w:szCs w:val="20"/>
                  <w:highlight w:val="none"/>
                </w:rPr>
                <m:t xml:space="preserve">+ N6 x </m:t>
              </m:r>
              <m:f>
                <m:fPr>
                  <m:ctrlPr>
                    <w:rPr>
                      <w:rFonts w:ascii="Cambria Math" w:hAnsi="Cambria Math"/>
                      <w:i/>
                      <w:szCs w:val="20"/>
                      <w:highlight w:val="none"/>
                    </w:rPr>
                  </m:ctrlPr>
                </m:fPr>
                <m:num>
                  <m:r>
                    <w:rPr>
                      <w:rFonts w:ascii="Cambria Math" w:hAnsi="Cambria Math"/>
                      <w:szCs w:val="20"/>
                      <w:highlight w:val="none"/>
                    </w:rPr>
                    <m:t>MOi-MOo</m:t>
                  </m:r>
                  <m:ctrlPr>
                    <w:rPr>
                      <w:rFonts w:ascii="Cambria Math" w:hAnsi="Cambria Math"/>
                      <w:i/>
                      <w:szCs w:val="20"/>
                      <w:highlight w:val="none"/>
                    </w:rPr>
                  </m:ctrlPr>
                </m:num>
                <m:den>
                  <m:r>
                    <w:rPr>
                      <w:rFonts w:ascii="Cambria Math" w:hAnsi="Cambria Math"/>
                      <w:szCs w:val="20"/>
                      <w:highlight w:val="none"/>
                    </w:rPr>
                    <m:t>MOo</m:t>
                  </m:r>
                  <m:ctrlPr>
                    <w:rPr>
                      <w:rFonts w:ascii="Cambria Math" w:hAnsi="Cambria Math"/>
                      <w:i/>
                      <w:szCs w:val="20"/>
                      <w:highlight w:val="none"/>
                    </w:rPr>
                  </m:ctrlPr>
                </m:den>
              </m:f>
              <m:r>
                <w:rPr>
                  <w:rFonts w:ascii="Cambria Math" w:hAnsi="Cambria Math"/>
                  <w:szCs w:val="20"/>
                  <w:highlight w:val="none"/>
                </w:rPr>
                <m:t xml:space="preserve">+ N7 x </m:t>
              </m:r>
              <m:f>
                <m:fPr>
                  <m:ctrlPr>
                    <w:rPr>
                      <w:rFonts w:ascii="Cambria Math" w:hAnsi="Cambria Math"/>
                      <w:i/>
                      <w:szCs w:val="20"/>
                      <w:highlight w:val="none"/>
                    </w:rPr>
                  </m:ctrlPr>
                </m:fPr>
                <m:num>
                  <m:r>
                    <w:rPr>
                      <w:rFonts w:ascii="Cambria Math" w:hAnsi="Cambria Math"/>
                      <w:szCs w:val="20"/>
                      <w:highlight w:val="none"/>
                    </w:rPr>
                    <m:t>MEi-MEo</m:t>
                  </m:r>
                  <m:ctrlPr>
                    <w:rPr>
                      <w:rFonts w:ascii="Cambria Math" w:hAnsi="Cambria Math"/>
                      <w:i/>
                      <w:szCs w:val="20"/>
                      <w:highlight w:val="none"/>
                    </w:rPr>
                  </m:ctrlPr>
                </m:num>
                <m:den>
                  <m:r>
                    <w:rPr>
                      <w:rFonts w:ascii="Cambria Math" w:hAnsi="Cambria Math"/>
                      <w:szCs w:val="20"/>
                      <w:highlight w:val="none"/>
                    </w:rPr>
                    <m:t>MEo</m:t>
                  </m:r>
                  <m:ctrlPr>
                    <w:rPr>
                      <w:rFonts w:ascii="Cambria Math" w:hAnsi="Cambria Math"/>
                      <w:i/>
                      <w:szCs w:val="20"/>
                      <w:highlight w:val="none"/>
                    </w:rPr>
                  </m:ctrlPr>
                </m:den>
              </m:f>
              <m:ctrlPr>
                <w:rPr>
                  <w:rFonts w:ascii="Cambria Math" w:hAnsi="Cambria Math"/>
                  <w:szCs w:val="20"/>
                  <w:highlight w:val="none"/>
                </w:rPr>
              </m:ctrlPr>
            </m:e>
          </m:d>
        </m:oMath>
      </m:oMathPara>
    </w:p>
    <w:p>
      <w:pPr>
        <w:rPr>
          <w:szCs w:val="20"/>
          <w:highlight w:val="none"/>
        </w:rPr>
      </w:pPr>
    </w:p>
    <w:p>
      <w:pPr>
        <w:ind w:left="993"/>
        <w:rPr>
          <w:szCs w:val="20"/>
          <w:highlight w:val="none"/>
        </w:rPr>
      </w:pPr>
      <w:r>
        <w:rPr>
          <w:szCs w:val="20"/>
          <w:highlight w:val="none"/>
        </w:rPr>
        <w:t>Onde:</w:t>
      </w:r>
    </w:p>
    <w:p>
      <w:pPr>
        <w:pStyle w:val="3"/>
        <w:numPr>
          <w:ilvl w:val="0"/>
          <w:numId w:val="20"/>
        </w:numPr>
        <w:ind w:left="1560" w:hanging="426"/>
        <w:rPr>
          <w:szCs w:val="20"/>
          <w:highlight w:val="none"/>
        </w:rPr>
      </w:pPr>
      <w:r>
        <w:rPr>
          <w:szCs w:val="20"/>
          <w:highlight w:val="none"/>
        </w:rPr>
        <w:t>R: valor do reajustamento</w:t>
      </w:r>
    </w:p>
    <w:p>
      <w:pPr>
        <w:pStyle w:val="3"/>
        <w:numPr>
          <w:ilvl w:val="0"/>
          <w:numId w:val="20"/>
        </w:numPr>
        <w:ind w:left="1560" w:hanging="426"/>
        <w:rPr>
          <w:szCs w:val="20"/>
          <w:highlight w:val="none"/>
        </w:rPr>
      </w:pPr>
      <w:r>
        <w:rPr>
          <w:szCs w:val="20"/>
          <w:highlight w:val="none"/>
        </w:rPr>
        <w:t>V: valor a ser reajustado</w:t>
      </w:r>
    </w:p>
    <w:p>
      <w:pPr>
        <w:pStyle w:val="3"/>
        <w:numPr>
          <w:ilvl w:val="0"/>
          <w:numId w:val="20"/>
        </w:numPr>
        <w:ind w:left="1560" w:hanging="426"/>
        <w:rPr>
          <w:szCs w:val="20"/>
          <w:highlight w:val="none"/>
        </w:rPr>
      </w:pPr>
      <w:r>
        <w:rPr>
          <w:szCs w:val="20"/>
          <w:highlight w:val="none"/>
        </w:rPr>
        <w:t>N1: percentual de ponderação de serviços de Terraplenagem frente à totalidade dos serviços a executar.</w:t>
      </w:r>
    </w:p>
    <w:p>
      <w:pPr>
        <w:pStyle w:val="3"/>
        <w:numPr>
          <w:ilvl w:val="0"/>
          <w:numId w:val="20"/>
        </w:numPr>
        <w:ind w:left="1560" w:hanging="426"/>
        <w:rPr>
          <w:szCs w:val="20"/>
          <w:highlight w:val="none"/>
        </w:rPr>
      </w:pPr>
      <w:r>
        <w:rPr>
          <w:szCs w:val="20"/>
          <w:highlight w:val="none"/>
        </w:rPr>
        <w:t>N2: percentual de ponderação de serviços de Edificações frente à totalidade dos serviços a executar.</w:t>
      </w:r>
    </w:p>
    <w:p>
      <w:pPr>
        <w:pStyle w:val="3"/>
        <w:numPr>
          <w:ilvl w:val="0"/>
          <w:numId w:val="20"/>
        </w:numPr>
        <w:ind w:left="1560" w:hanging="426"/>
        <w:rPr>
          <w:szCs w:val="20"/>
          <w:highlight w:val="none"/>
        </w:rPr>
      </w:pPr>
      <w:r>
        <w:rPr>
          <w:szCs w:val="20"/>
          <w:highlight w:val="none"/>
        </w:rPr>
        <w:t>N3: percentual de ponderação de serviços de Concreto Armado frente à totalidade dos serviços a executar.</w:t>
      </w:r>
    </w:p>
    <w:p>
      <w:pPr>
        <w:pStyle w:val="3"/>
        <w:numPr>
          <w:ilvl w:val="0"/>
          <w:numId w:val="20"/>
        </w:numPr>
        <w:ind w:left="1560" w:hanging="426"/>
        <w:rPr>
          <w:szCs w:val="20"/>
          <w:highlight w:val="none"/>
        </w:rPr>
      </w:pPr>
      <w:r>
        <w:rPr>
          <w:szCs w:val="20"/>
          <w:highlight w:val="none"/>
        </w:rPr>
        <w:t>N4: percentual de ponderação de serviços de Materiais Plásticos frente à totalidade dos serviços a executar.</w:t>
      </w:r>
    </w:p>
    <w:p>
      <w:pPr>
        <w:pStyle w:val="3"/>
        <w:numPr>
          <w:ilvl w:val="0"/>
          <w:numId w:val="20"/>
        </w:numPr>
        <w:ind w:left="1560" w:hanging="426"/>
        <w:rPr>
          <w:szCs w:val="20"/>
          <w:highlight w:val="none"/>
        </w:rPr>
      </w:pPr>
      <w:r>
        <w:rPr>
          <w:szCs w:val="20"/>
          <w:highlight w:val="none"/>
        </w:rPr>
        <w:t>N5: percentual de ponderação de serviços de Ferro, Aço e Derivados frente à totalidade dos serviços a executar.</w:t>
      </w:r>
    </w:p>
    <w:p>
      <w:pPr>
        <w:pStyle w:val="3"/>
        <w:numPr>
          <w:ilvl w:val="0"/>
          <w:numId w:val="20"/>
        </w:numPr>
        <w:ind w:left="1560" w:hanging="426"/>
        <w:rPr>
          <w:szCs w:val="20"/>
          <w:highlight w:val="none"/>
        </w:rPr>
      </w:pPr>
      <w:r>
        <w:rPr>
          <w:szCs w:val="20"/>
          <w:highlight w:val="none"/>
        </w:rPr>
        <w:t>N6: percentual de ponderação de serviços de Mão-de-Obra Especializada frente à totalidade dos serviços a executar.</w:t>
      </w:r>
    </w:p>
    <w:p>
      <w:pPr>
        <w:pStyle w:val="3"/>
        <w:numPr>
          <w:ilvl w:val="0"/>
          <w:numId w:val="20"/>
        </w:numPr>
        <w:ind w:left="1560" w:hanging="426"/>
        <w:rPr>
          <w:szCs w:val="20"/>
          <w:highlight w:val="none"/>
        </w:rPr>
      </w:pPr>
      <w:r>
        <w:rPr>
          <w:szCs w:val="20"/>
          <w:highlight w:val="none"/>
        </w:rPr>
        <w:t>N7: percentual de ponderação de serviços de Máquinas e Equipamentos industriais frente à totalidade dos serviços a executar</w:t>
      </w:r>
    </w:p>
    <w:p>
      <w:pPr>
        <w:pStyle w:val="3"/>
        <w:numPr>
          <w:ilvl w:val="0"/>
          <w:numId w:val="20"/>
        </w:numPr>
        <w:ind w:left="1560" w:hanging="426"/>
        <w:rPr>
          <w:szCs w:val="20"/>
          <w:highlight w:val="none"/>
        </w:rPr>
      </w:pPr>
      <w:r>
        <w:rPr>
          <w:szCs w:val="20"/>
          <w:highlight w:val="none"/>
        </w:rPr>
        <w:t>Ti: Refere-se à coluna 38 da FGV - Terraplenagem, cód. AO157956, correspondente ao mês de aniversário da proposta.</w:t>
      </w:r>
    </w:p>
    <w:p>
      <w:pPr>
        <w:pStyle w:val="3"/>
        <w:numPr>
          <w:ilvl w:val="0"/>
          <w:numId w:val="20"/>
        </w:numPr>
        <w:ind w:left="1560" w:hanging="426"/>
        <w:rPr>
          <w:szCs w:val="20"/>
          <w:highlight w:val="none"/>
        </w:rPr>
      </w:pPr>
      <w:r>
        <w:rPr>
          <w:szCs w:val="20"/>
          <w:highlight w:val="none"/>
        </w:rPr>
        <w:t>To: Refere-se à coluna 38 da FGV - Terraplenagem, cód. AO157956, correspondente a data de apresentação da proposta.</w:t>
      </w:r>
    </w:p>
    <w:p>
      <w:pPr>
        <w:pStyle w:val="3"/>
        <w:numPr>
          <w:ilvl w:val="0"/>
          <w:numId w:val="20"/>
        </w:numPr>
        <w:ind w:left="1560" w:hanging="426"/>
        <w:rPr>
          <w:szCs w:val="20"/>
          <w:highlight w:val="none"/>
        </w:rPr>
      </w:pPr>
      <w:r>
        <w:rPr>
          <w:szCs w:val="20"/>
          <w:highlight w:val="none"/>
        </w:rPr>
        <w:t>Ei: Refere-se à coluna 35 da FGV - Edificações Total, cód. AO159428, correspondente ao mês de aniversário da proposta.</w:t>
      </w:r>
    </w:p>
    <w:p>
      <w:pPr>
        <w:pStyle w:val="3"/>
        <w:numPr>
          <w:ilvl w:val="0"/>
          <w:numId w:val="20"/>
        </w:numPr>
        <w:ind w:left="1560" w:hanging="426"/>
        <w:rPr>
          <w:szCs w:val="20"/>
          <w:highlight w:val="none"/>
        </w:rPr>
      </w:pPr>
      <w:r>
        <w:rPr>
          <w:szCs w:val="20"/>
          <w:highlight w:val="none"/>
        </w:rPr>
        <w:t>Eo: Refere-se à coluna 35 da FGV - Edificações Total, cód. AO 159428, correspondente a data de apresentação da proposta.</w:t>
      </w:r>
    </w:p>
    <w:p>
      <w:pPr>
        <w:pStyle w:val="3"/>
        <w:numPr>
          <w:ilvl w:val="0"/>
          <w:numId w:val="20"/>
        </w:numPr>
        <w:ind w:left="1560" w:hanging="426"/>
        <w:rPr>
          <w:szCs w:val="20"/>
          <w:highlight w:val="none"/>
        </w:rPr>
      </w:pPr>
      <w:r>
        <w:rPr>
          <w:szCs w:val="20"/>
          <w:highlight w:val="none"/>
        </w:rPr>
        <w:t>CAi: Refere-se à coluna 40 da FGV - Estrutura de Obras em Concreto Armado, cód. AO159665, correspondente ao mês de aniversário da proposta.</w:t>
      </w:r>
    </w:p>
    <w:p>
      <w:pPr>
        <w:pStyle w:val="3"/>
        <w:numPr>
          <w:ilvl w:val="0"/>
          <w:numId w:val="20"/>
        </w:numPr>
        <w:ind w:left="1560" w:hanging="426"/>
        <w:rPr>
          <w:szCs w:val="20"/>
          <w:highlight w:val="none"/>
        </w:rPr>
      </w:pPr>
      <w:r>
        <w:rPr>
          <w:szCs w:val="20"/>
          <w:highlight w:val="none"/>
        </w:rPr>
        <w:t>CAo: Refere-se à coluna 40 da FGV - Estrutura de Obras em Concreto Armado, cód. AO159665, correspondente à data de apresentação da proposta.</w:t>
      </w:r>
    </w:p>
    <w:p>
      <w:pPr>
        <w:pStyle w:val="3"/>
        <w:numPr>
          <w:ilvl w:val="0"/>
          <w:numId w:val="20"/>
        </w:numPr>
        <w:ind w:left="1560" w:hanging="426"/>
        <w:rPr>
          <w:szCs w:val="20"/>
          <w:highlight w:val="none"/>
        </w:rPr>
      </w:pPr>
      <w:r>
        <w:rPr>
          <w:szCs w:val="20"/>
          <w:highlight w:val="none"/>
        </w:rPr>
        <w:t>MPi: Refere-se ao IPA-Origem-OG-DI-Produtos Industriais – Artigos de Borracha e de Material Plástico, cód. AO 1006821, correspondente ao mês de aniversário da proposta.</w:t>
      </w:r>
    </w:p>
    <w:p>
      <w:pPr>
        <w:pStyle w:val="3"/>
        <w:numPr>
          <w:ilvl w:val="0"/>
          <w:numId w:val="20"/>
        </w:numPr>
        <w:ind w:left="1560" w:hanging="426"/>
        <w:rPr>
          <w:szCs w:val="20"/>
          <w:highlight w:val="none"/>
        </w:rPr>
      </w:pPr>
      <w:r>
        <w:rPr>
          <w:szCs w:val="20"/>
          <w:highlight w:val="none"/>
        </w:rPr>
        <w:t>MPo: Refere-se ao IPA-Origem-OG-DI-Produtos Industriais – Artigos de Borracha e de Material Plástico, cód. AO 1006821, correspondente à data de apresentação da proposta.</w:t>
      </w:r>
    </w:p>
    <w:p>
      <w:pPr>
        <w:pStyle w:val="3"/>
        <w:numPr>
          <w:ilvl w:val="0"/>
          <w:numId w:val="20"/>
        </w:numPr>
        <w:ind w:left="1560" w:hanging="426"/>
        <w:rPr>
          <w:szCs w:val="20"/>
          <w:highlight w:val="none"/>
        </w:rPr>
      </w:pPr>
      <w:r>
        <w:rPr>
          <w:szCs w:val="20"/>
          <w:highlight w:val="none"/>
        </w:rPr>
        <w:t>Fi: Refere-se ao IPA-Origem-OG-DI-Produtos Industriais - Indústria de Transformação - Metalúrgica Básica, cód. AO 1006823, correspondente ao mês de aniversário da proposta.</w:t>
      </w:r>
    </w:p>
    <w:p>
      <w:pPr>
        <w:pStyle w:val="3"/>
        <w:numPr>
          <w:ilvl w:val="0"/>
          <w:numId w:val="20"/>
        </w:numPr>
        <w:ind w:left="1560" w:hanging="426"/>
        <w:rPr>
          <w:szCs w:val="20"/>
          <w:highlight w:val="none"/>
        </w:rPr>
      </w:pPr>
      <w:r>
        <w:rPr>
          <w:szCs w:val="20"/>
          <w:highlight w:val="none"/>
        </w:rPr>
        <w:t>Fo: Refere-se ao IPA-Origem-OG-DI-Produtos Industriais - Indústria de Transformação - Metalúrgica Básica, cód. AO 1006823, correspondente à data de apresentação da proposta.</w:t>
      </w:r>
    </w:p>
    <w:p>
      <w:pPr>
        <w:pStyle w:val="3"/>
        <w:numPr>
          <w:ilvl w:val="0"/>
          <w:numId w:val="20"/>
        </w:numPr>
        <w:ind w:left="1560" w:hanging="426"/>
        <w:rPr>
          <w:szCs w:val="20"/>
          <w:highlight w:val="none"/>
        </w:rPr>
      </w:pPr>
      <w:r>
        <w:rPr>
          <w:szCs w:val="20"/>
          <w:highlight w:val="none"/>
        </w:rPr>
        <w:t>MOi: Refere-se a coluna 72A da FGV Mão-de-obra Especializada, cód. AO1004914, correspondente ao mês de aniversário da proposta.</w:t>
      </w:r>
    </w:p>
    <w:p>
      <w:pPr>
        <w:pStyle w:val="3"/>
        <w:numPr>
          <w:ilvl w:val="0"/>
          <w:numId w:val="20"/>
        </w:numPr>
        <w:ind w:left="1560" w:hanging="426"/>
        <w:rPr>
          <w:szCs w:val="20"/>
          <w:highlight w:val="none"/>
        </w:rPr>
      </w:pPr>
      <w:r>
        <w:rPr>
          <w:szCs w:val="20"/>
          <w:highlight w:val="none"/>
        </w:rPr>
        <w:t>MOo: Refere-se a coluna 72A da FGV Mão-de-obra Especializada, cód. AO1004914, correspondente à data de apresentação da proposta.</w:t>
      </w:r>
    </w:p>
    <w:p>
      <w:pPr>
        <w:pStyle w:val="3"/>
        <w:numPr>
          <w:ilvl w:val="0"/>
          <w:numId w:val="20"/>
        </w:numPr>
        <w:ind w:left="1560" w:hanging="426"/>
        <w:rPr>
          <w:szCs w:val="20"/>
          <w:highlight w:val="none"/>
        </w:rPr>
      </w:pPr>
      <w:r>
        <w:rPr>
          <w:szCs w:val="20"/>
          <w:highlight w:val="none"/>
        </w:rPr>
        <w:t>MEi: Refere-se ao IPA - Origem-OG-DI-Produtos Industriais - Indústria de Transformação - Máquinas e Equipamentos, cód. AO 1006825, correspondente ao mês de aniversário da proposta</w:t>
      </w:r>
    </w:p>
    <w:p>
      <w:pPr>
        <w:pStyle w:val="3"/>
        <w:numPr>
          <w:ilvl w:val="0"/>
          <w:numId w:val="20"/>
        </w:numPr>
        <w:ind w:left="1560" w:hanging="426"/>
        <w:rPr>
          <w:color w:val="0070C0"/>
          <w:szCs w:val="20"/>
          <w:highlight w:val="none"/>
        </w:rPr>
      </w:pPr>
      <w:r>
        <w:rPr>
          <w:szCs w:val="20"/>
          <w:highlight w:val="none"/>
        </w:rPr>
        <w:t>MEo: Refere-se ao IPA - Origem-OG-DI-Produtos Industriais - Indústria de Transformação - Máquinas e Equipamentos, cód. AO 1006825, correspondente à data de apresentação da proposta.</w:t>
      </w:r>
    </w:p>
    <w:p>
      <w:pPr>
        <w:rPr>
          <w:szCs w:val="20"/>
          <w:highlight w:val="none"/>
        </w:rPr>
      </w:pPr>
    </w:p>
    <w:p>
      <w:pPr>
        <w:rPr>
          <w:szCs w:val="20"/>
          <w:highlight w:val="none"/>
        </w:rPr>
      </w:pPr>
    </w:p>
    <w:p>
      <w:pPr>
        <w:pStyle w:val="4"/>
        <w:ind w:left="851" w:hanging="851"/>
        <w:rPr>
          <w:szCs w:val="20"/>
          <w:highlight w:val="none"/>
        </w:rPr>
      </w:pPr>
      <w:r>
        <w:rPr>
          <w:szCs w:val="20"/>
          <w:highlight w:val="none"/>
        </w:rPr>
        <w:t>Caso haja mudança de data base nestes índices, deve-se primeiro calcular o valor do índice na data base original utilizando-se a seguinte fórmula:</w:t>
      </w:r>
    </w:p>
    <w:p>
      <w:pPr>
        <w:rPr>
          <w:szCs w:val="20"/>
          <w:highlight w:val="none"/>
        </w:rPr>
      </w:pPr>
    </w:p>
    <w:p>
      <w:pPr>
        <w:rPr>
          <w:szCs w:val="20"/>
          <w:highlight w:val="none"/>
          <w:lang w:eastAsia="pt-BR"/>
        </w:rPr>
      </w:pPr>
      <m:oMathPara>
        <m:oMathParaPr>
          <m:jc m:val="center"/>
        </m:oMathParaPr>
        <m:oMath>
          <m:sSubSup>
            <m:sSubSupPr>
              <m:ctrlPr>
                <w:rPr>
                  <w:rFonts w:ascii="Cambria Math" w:hAnsi="Cambria Math"/>
                  <w:szCs w:val="20"/>
                  <w:highlight w:val="none"/>
                  <w:lang w:eastAsia="pt-BR"/>
                </w:rPr>
              </m:ctrlPr>
            </m:sSubSupPr>
            <m:e>
              <m:r>
                <m:rPr>
                  <m:sty m:val="p"/>
                </m:rPr>
                <w:rPr>
                  <w:rFonts w:ascii="Cambria Math" w:hAnsi="Cambria Math"/>
                  <w:szCs w:val="20"/>
                  <w:highlight w:val="none"/>
                  <w:lang w:eastAsia="pt-BR"/>
                </w:rPr>
                <m:t>I</m:t>
              </m:r>
              <m:ctrlPr>
                <w:rPr>
                  <w:rFonts w:ascii="Cambria Math" w:hAnsi="Cambria Math"/>
                  <w:szCs w:val="20"/>
                  <w:highlight w:val="none"/>
                  <w:lang w:eastAsia="pt-BR"/>
                </w:rPr>
              </m:ctrlPr>
            </m:e>
            <m:sub>
              <m:r>
                <m:rPr>
                  <m:sty m:val="p"/>
                </m:rPr>
                <w:rPr>
                  <w:rFonts w:ascii="Cambria Math" w:hAnsi="Cambria Math"/>
                  <w:szCs w:val="20"/>
                  <w:highlight w:val="none"/>
                  <w:lang w:eastAsia="pt-BR"/>
                </w:rPr>
                <m:t>DB1</m:t>
              </m:r>
              <m:ctrlPr>
                <w:rPr>
                  <w:rFonts w:ascii="Cambria Math" w:hAnsi="Cambria Math"/>
                  <w:szCs w:val="20"/>
                  <w:highlight w:val="none"/>
                  <w:lang w:eastAsia="pt-BR"/>
                </w:rPr>
              </m:ctrlPr>
            </m:sub>
            <m:sup>
              <m:r>
                <m:rPr>
                  <m:sty m:val="p"/>
                </m:rPr>
                <w:rPr>
                  <w:rFonts w:ascii="Cambria Math" w:hAnsi="Cambria Math"/>
                  <w:szCs w:val="20"/>
                  <w:highlight w:val="none"/>
                  <w:lang w:eastAsia="pt-BR"/>
                </w:rPr>
                <m:t>Mês2</m:t>
              </m:r>
              <m:ctrlPr>
                <w:rPr>
                  <w:rFonts w:ascii="Cambria Math" w:hAnsi="Cambria Math"/>
                  <w:szCs w:val="20"/>
                  <w:highlight w:val="none"/>
                  <w:lang w:eastAsia="pt-BR"/>
                </w:rPr>
              </m:ctrlPr>
            </m:sup>
          </m:sSubSup>
          <m:r>
            <m:rPr>
              <m:sty m:val="p"/>
            </m:rPr>
            <w:rPr>
              <w:rFonts w:ascii="Cambria Math" w:hAnsi="Cambria Math"/>
              <w:szCs w:val="20"/>
              <w:highlight w:val="none"/>
              <w:lang w:eastAsia="pt-BR"/>
            </w:rPr>
            <m:t>=</m:t>
          </m:r>
          <m:f>
            <m:fPr>
              <m:ctrlPr>
                <w:rPr>
                  <w:rFonts w:ascii="Cambria Math" w:hAnsi="Cambria Math"/>
                  <w:szCs w:val="20"/>
                  <w:highlight w:val="none"/>
                  <w:lang w:eastAsia="pt-BR"/>
                </w:rPr>
              </m:ctrlPr>
            </m:fPr>
            <m:num>
              <m:sSubSup>
                <m:sSubSupPr>
                  <m:ctrlPr>
                    <w:rPr>
                      <w:rFonts w:ascii="Cambria Math" w:hAnsi="Cambria Math"/>
                      <w:szCs w:val="20"/>
                      <w:highlight w:val="none"/>
                      <w:lang w:eastAsia="pt-BR"/>
                    </w:rPr>
                  </m:ctrlPr>
                </m:sSubSupPr>
                <m:e>
                  <m:r>
                    <m:rPr>
                      <m:sty m:val="p"/>
                    </m:rPr>
                    <w:rPr>
                      <w:rFonts w:ascii="Cambria Math" w:hAnsi="Cambria Math"/>
                      <w:szCs w:val="20"/>
                      <w:highlight w:val="none"/>
                      <w:lang w:eastAsia="pt-BR"/>
                    </w:rPr>
                    <m:t>I</m:t>
                  </m:r>
                  <m:ctrlPr>
                    <w:rPr>
                      <w:rFonts w:ascii="Cambria Math" w:hAnsi="Cambria Math"/>
                      <w:szCs w:val="20"/>
                      <w:highlight w:val="none"/>
                      <w:lang w:eastAsia="pt-BR"/>
                    </w:rPr>
                  </m:ctrlPr>
                </m:e>
                <m:sub>
                  <m:r>
                    <m:rPr>
                      <m:sty m:val="p"/>
                    </m:rPr>
                    <w:rPr>
                      <w:rFonts w:ascii="Cambria Math" w:hAnsi="Cambria Math"/>
                      <w:szCs w:val="20"/>
                      <w:highlight w:val="none"/>
                      <w:lang w:eastAsia="pt-BR"/>
                    </w:rPr>
                    <m:t>DB2</m:t>
                  </m:r>
                  <m:ctrlPr>
                    <w:rPr>
                      <w:rFonts w:ascii="Cambria Math" w:hAnsi="Cambria Math"/>
                      <w:szCs w:val="20"/>
                      <w:highlight w:val="none"/>
                      <w:lang w:eastAsia="pt-BR"/>
                    </w:rPr>
                  </m:ctrlPr>
                </m:sub>
                <m:sup>
                  <m:r>
                    <m:rPr>
                      <m:sty m:val="p"/>
                    </m:rPr>
                    <w:rPr>
                      <w:rFonts w:ascii="Cambria Math" w:hAnsi="Cambria Math"/>
                      <w:szCs w:val="20"/>
                      <w:highlight w:val="none"/>
                      <w:lang w:eastAsia="pt-BR"/>
                    </w:rPr>
                    <m:t>Mês2</m:t>
                  </m:r>
                  <m:ctrlPr>
                    <w:rPr>
                      <w:rFonts w:ascii="Cambria Math" w:hAnsi="Cambria Math"/>
                      <w:szCs w:val="20"/>
                      <w:highlight w:val="none"/>
                      <w:lang w:eastAsia="pt-BR"/>
                    </w:rPr>
                  </m:ctrlPr>
                </m:sup>
              </m:sSubSup>
              <m:r>
                <m:rPr>
                  <m:sty m:val="p"/>
                </m:rPr>
                <w:rPr>
                  <w:rFonts w:ascii="Cambria Math" w:hAnsi="Cambria Math"/>
                  <w:szCs w:val="20"/>
                  <w:highlight w:val="none"/>
                  <w:lang w:eastAsia="pt-BR"/>
                </w:rPr>
                <m:t>×</m:t>
              </m:r>
              <m:sSubSup>
                <m:sSubSupPr>
                  <m:ctrlPr>
                    <w:rPr>
                      <w:rFonts w:ascii="Cambria Math" w:hAnsi="Cambria Math"/>
                      <w:szCs w:val="20"/>
                      <w:highlight w:val="none"/>
                      <w:lang w:eastAsia="pt-BR"/>
                    </w:rPr>
                  </m:ctrlPr>
                </m:sSubSupPr>
                <m:e>
                  <m:r>
                    <m:rPr>
                      <m:sty m:val="p"/>
                    </m:rPr>
                    <w:rPr>
                      <w:rFonts w:ascii="Cambria Math" w:hAnsi="Cambria Math"/>
                      <w:szCs w:val="20"/>
                      <w:highlight w:val="none"/>
                      <w:lang w:eastAsia="pt-BR"/>
                    </w:rPr>
                    <m:t>I</m:t>
                  </m:r>
                  <m:ctrlPr>
                    <w:rPr>
                      <w:rFonts w:ascii="Cambria Math" w:hAnsi="Cambria Math"/>
                      <w:szCs w:val="20"/>
                      <w:highlight w:val="none"/>
                      <w:lang w:eastAsia="pt-BR"/>
                    </w:rPr>
                  </m:ctrlPr>
                </m:e>
                <m:sub>
                  <m:r>
                    <m:rPr>
                      <m:sty m:val="p"/>
                    </m:rPr>
                    <w:rPr>
                      <w:rFonts w:ascii="Cambria Math" w:hAnsi="Cambria Math"/>
                      <w:szCs w:val="20"/>
                      <w:highlight w:val="none"/>
                      <w:lang w:eastAsia="pt-BR"/>
                    </w:rPr>
                    <m:t>DB1</m:t>
                  </m:r>
                  <m:ctrlPr>
                    <w:rPr>
                      <w:rFonts w:ascii="Cambria Math" w:hAnsi="Cambria Math"/>
                      <w:szCs w:val="20"/>
                      <w:highlight w:val="none"/>
                      <w:lang w:eastAsia="pt-BR"/>
                    </w:rPr>
                  </m:ctrlPr>
                </m:sub>
                <m:sup>
                  <m:r>
                    <m:rPr>
                      <m:sty m:val="p"/>
                    </m:rPr>
                    <w:rPr>
                      <w:rFonts w:ascii="Cambria Math" w:hAnsi="Cambria Math"/>
                      <w:szCs w:val="20"/>
                      <w:highlight w:val="none"/>
                      <w:lang w:eastAsia="pt-BR"/>
                    </w:rPr>
                    <m:t>Mês1</m:t>
                  </m:r>
                  <m:ctrlPr>
                    <w:rPr>
                      <w:rFonts w:ascii="Cambria Math" w:hAnsi="Cambria Math"/>
                      <w:szCs w:val="20"/>
                      <w:highlight w:val="none"/>
                      <w:lang w:eastAsia="pt-BR"/>
                    </w:rPr>
                  </m:ctrlPr>
                </m:sup>
              </m:sSubSup>
              <m:ctrlPr>
                <w:rPr>
                  <w:rFonts w:ascii="Cambria Math" w:hAnsi="Cambria Math"/>
                  <w:szCs w:val="20"/>
                  <w:highlight w:val="none"/>
                  <w:lang w:eastAsia="pt-BR"/>
                </w:rPr>
              </m:ctrlPr>
            </m:num>
            <m:den>
              <m:r>
                <m:rPr>
                  <m:sty m:val="p"/>
                </m:rPr>
                <w:rPr>
                  <w:rFonts w:ascii="Cambria Math" w:hAnsi="Cambria Math"/>
                  <w:szCs w:val="20"/>
                  <w:highlight w:val="none"/>
                  <w:lang w:eastAsia="pt-BR"/>
                </w:rPr>
                <m:t>100</m:t>
              </m:r>
              <m:ctrlPr>
                <w:rPr>
                  <w:rFonts w:ascii="Cambria Math" w:hAnsi="Cambria Math"/>
                  <w:szCs w:val="20"/>
                  <w:highlight w:val="none"/>
                  <w:lang w:eastAsia="pt-BR"/>
                </w:rPr>
              </m:ctrlPr>
            </m:den>
          </m:f>
        </m:oMath>
      </m:oMathPara>
    </w:p>
    <w:p>
      <w:pPr>
        <w:rPr>
          <w:szCs w:val="20"/>
          <w:highlight w:val="none"/>
        </w:rPr>
      </w:pPr>
    </w:p>
    <w:p>
      <w:pPr>
        <w:rPr>
          <w:szCs w:val="20"/>
          <w:highlight w:val="none"/>
        </w:rPr>
      </w:pPr>
      <w:r>
        <w:rPr>
          <w:szCs w:val="20"/>
          <w:highlight w:val="none"/>
        </w:rPr>
        <w:t>Sendo:</w:t>
      </w:r>
    </w:p>
    <w:p>
      <w:pPr>
        <w:pStyle w:val="3"/>
        <w:numPr>
          <w:ilvl w:val="0"/>
          <w:numId w:val="21"/>
        </w:numPr>
        <w:rPr>
          <w:szCs w:val="20"/>
          <w:highlight w:val="none"/>
        </w:rPr>
      </w:pPr>
      <m:oMath>
        <m:sSubSup>
          <m:sSubSupPr>
            <m:ctrlPr>
              <w:rPr>
                <w:rFonts w:ascii="Cambria Math" w:hAnsi="Cambria Math"/>
                <w:szCs w:val="20"/>
                <w:highlight w:val="none"/>
              </w:rPr>
            </m:ctrlPr>
          </m:sSubSupPr>
          <m:e>
            <m:r>
              <m:rPr>
                <m:sty m:val="p"/>
              </m:rPr>
              <w:rPr>
                <w:rFonts w:ascii="Cambria Math" w:hAnsi="Cambria Math"/>
                <w:szCs w:val="20"/>
                <w:highlight w:val="none"/>
              </w:rPr>
              <m:t>I</m:t>
            </m:r>
            <m:ctrlPr>
              <w:rPr>
                <w:rFonts w:ascii="Cambria Math" w:hAnsi="Cambria Math"/>
                <w:szCs w:val="20"/>
                <w:highlight w:val="none"/>
              </w:rPr>
            </m:ctrlPr>
          </m:e>
          <m:sub>
            <m:r>
              <m:rPr>
                <m:sty m:val="p"/>
              </m:rPr>
              <w:rPr>
                <w:rFonts w:ascii="Cambria Math" w:hAnsi="Cambria Math"/>
                <w:szCs w:val="20"/>
                <w:highlight w:val="none"/>
              </w:rPr>
              <m:t>DB1</m:t>
            </m:r>
            <m:ctrlPr>
              <w:rPr>
                <w:rFonts w:ascii="Cambria Math" w:hAnsi="Cambria Math"/>
                <w:szCs w:val="20"/>
                <w:highlight w:val="none"/>
              </w:rPr>
            </m:ctrlPr>
          </m:sub>
          <m:sup>
            <m:r>
              <m:rPr>
                <m:sty m:val="p"/>
              </m:rPr>
              <w:rPr>
                <w:rFonts w:ascii="Cambria Math" w:hAnsi="Cambria Math"/>
                <w:szCs w:val="20"/>
                <w:highlight w:val="none"/>
              </w:rPr>
              <m:t>Mês2</m:t>
            </m:r>
            <m:ctrlPr>
              <w:rPr>
                <w:rFonts w:ascii="Cambria Math" w:hAnsi="Cambria Math"/>
                <w:szCs w:val="20"/>
                <w:highlight w:val="none"/>
              </w:rPr>
            </m:ctrlPr>
          </m:sup>
        </m:sSubSup>
      </m:oMath>
      <w:r>
        <w:rPr>
          <w:szCs w:val="20"/>
          <w:highlight w:val="none"/>
        </w:rPr>
        <w:t xml:space="preserve"> = Valor desejado. Índice do mês de reajuste com data base original.</w:t>
      </w:r>
    </w:p>
    <w:p>
      <w:pPr>
        <w:pStyle w:val="3"/>
        <w:numPr>
          <w:ilvl w:val="0"/>
          <w:numId w:val="21"/>
        </w:numPr>
        <w:rPr>
          <w:szCs w:val="20"/>
          <w:highlight w:val="none"/>
        </w:rPr>
      </w:pPr>
      <m:oMath>
        <m:sSubSup>
          <m:sSubSupPr>
            <m:ctrlPr>
              <w:rPr>
                <w:rFonts w:ascii="Cambria Math" w:hAnsi="Cambria Math"/>
                <w:szCs w:val="20"/>
                <w:highlight w:val="none"/>
              </w:rPr>
            </m:ctrlPr>
          </m:sSubSupPr>
          <m:e>
            <m:r>
              <m:rPr>
                <m:sty m:val="p"/>
              </m:rPr>
              <w:rPr>
                <w:rFonts w:ascii="Cambria Math" w:hAnsi="Cambria Math"/>
                <w:szCs w:val="20"/>
                <w:highlight w:val="none"/>
              </w:rPr>
              <m:t>I</m:t>
            </m:r>
            <m:ctrlPr>
              <w:rPr>
                <w:rFonts w:ascii="Cambria Math" w:hAnsi="Cambria Math"/>
                <w:szCs w:val="20"/>
                <w:highlight w:val="none"/>
              </w:rPr>
            </m:ctrlPr>
          </m:e>
          <m:sub>
            <m:r>
              <m:rPr>
                <m:sty m:val="p"/>
              </m:rPr>
              <w:rPr>
                <w:rFonts w:ascii="Cambria Math" w:hAnsi="Cambria Math"/>
                <w:szCs w:val="20"/>
                <w:highlight w:val="none"/>
              </w:rPr>
              <m:t>DB2</m:t>
            </m:r>
            <m:ctrlPr>
              <w:rPr>
                <w:rFonts w:ascii="Cambria Math" w:hAnsi="Cambria Math"/>
                <w:szCs w:val="20"/>
                <w:highlight w:val="none"/>
              </w:rPr>
            </m:ctrlPr>
          </m:sub>
          <m:sup>
            <m:r>
              <m:rPr>
                <m:sty m:val="p"/>
              </m:rPr>
              <w:rPr>
                <w:rFonts w:ascii="Cambria Math" w:hAnsi="Cambria Math"/>
                <w:szCs w:val="20"/>
                <w:highlight w:val="none"/>
              </w:rPr>
              <m:t>Mês2</m:t>
            </m:r>
            <m:ctrlPr>
              <w:rPr>
                <w:rFonts w:ascii="Cambria Math" w:hAnsi="Cambria Math"/>
                <w:szCs w:val="20"/>
                <w:highlight w:val="none"/>
              </w:rPr>
            </m:ctrlPr>
          </m:sup>
        </m:sSubSup>
      </m:oMath>
      <w:r>
        <w:rPr>
          <w:szCs w:val="20"/>
          <w:highlight w:val="none"/>
        </w:rPr>
        <w:t xml:space="preserve"> = Índice do mês de reajuste com a nova data base.</w:t>
      </w:r>
    </w:p>
    <w:p>
      <w:pPr>
        <w:pStyle w:val="3"/>
        <w:numPr>
          <w:ilvl w:val="0"/>
          <w:numId w:val="21"/>
        </w:numPr>
        <w:rPr>
          <w:szCs w:val="20"/>
          <w:highlight w:val="none"/>
        </w:rPr>
      </w:pPr>
      <m:oMath>
        <m:sSubSup>
          <m:sSubSupPr>
            <m:ctrlPr>
              <w:rPr>
                <w:rFonts w:ascii="Cambria Math" w:hAnsi="Cambria Math"/>
                <w:szCs w:val="20"/>
                <w:highlight w:val="none"/>
              </w:rPr>
            </m:ctrlPr>
          </m:sSubSupPr>
          <m:e>
            <m:r>
              <m:rPr>
                <m:sty m:val="p"/>
              </m:rPr>
              <w:rPr>
                <w:rFonts w:ascii="Cambria Math" w:hAnsi="Cambria Math"/>
                <w:szCs w:val="20"/>
                <w:highlight w:val="none"/>
              </w:rPr>
              <m:t>I</m:t>
            </m:r>
            <m:ctrlPr>
              <w:rPr>
                <w:rFonts w:ascii="Cambria Math" w:hAnsi="Cambria Math"/>
                <w:szCs w:val="20"/>
                <w:highlight w:val="none"/>
              </w:rPr>
            </m:ctrlPr>
          </m:e>
          <m:sub>
            <m:r>
              <m:rPr>
                <m:sty m:val="p"/>
              </m:rPr>
              <w:rPr>
                <w:rFonts w:ascii="Cambria Math" w:hAnsi="Cambria Math"/>
                <w:szCs w:val="20"/>
                <w:highlight w:val="none"/>
              </w:rPr>
              <m:t>DB1</m:t>
            </m:r>
            <m:ctrlPr>
              <w:rPr>
                <w:rFonts w:ascii="Cambria Math" w:hAnsi="Cambria Math"/>
                <w:szCs w:val="20"/>
                <w:highlight w:val="none"/>
              </w:rPr>
            </m:ctrlPr>
          </m:sub>
          <m:sup>
            <m:r>
              <m:rPr>
                <m:sty m:val="p"/>
              </m:rPr>
              <w:rPr>
                <w:rFonts w:ascii="Cambria Math" w:hAnsi="Cambria Math"/>
                <w:szCs w:val="20"/>
                <w:highlight w:val="none"/>
              </w:rPr>
              <m:t>Mês1</m:t>
            </m:r>
            <m:ctrlPr>
              <w:rPr>
                <w:rFonts w:ascii="Cambria Math" w:hAnsi="Cambria Math"/>
                <w:szCs w:val="20"/>
                <w:highlight w:val="none"/>
              </w:rPr>
            </m:ctrlPr>
          </m:sup>
        </m:sSubSup>
      </m:oMath>
      <w:r>
        <w:rPr>
          <w:szCs w:val="20"/>
          <w:highlight w:val="none"/>
        </w:rPr>
        <w:t xml:space="preserve"> = Índice do mês em que mudou a tabela, na data base original.</w:t>
      </w:r>
    </w:p>
    <w:p>
      <w:pPr>
        <w:rPr>
          <w:szCs w:val="20"/>
          <w:highlight w:val="none"/>
        </w:rPr>
      </w:pPr>
    </w:p>
    <w:p>
      <w:pPr>
        <w:pStyle w:val="4"/>
        <w:ind w:left="851" w:hanging="851"/>
        <w:rPr>
          <w:szCs w:val="20"/>
          <w:highlight w:val="none"/>
        </w:rPr>
      </w:pPr>
      <w:r>
        <w:rPr>
          <w:szCs w:val="20"/>
          <w:highlight w:val="none"/>
        </w:rPr>
        <w:t>Os valores a serem considerados, referentes aos fatores N1, N2, N3, N4, N5, N6 e N7, são apresentados abaixo:</w:t>
      </w:r>
    </w:p>
    <w:p>
      <w:pPr>
        <w:rPr>
          <w:szCs w:val="20"/>
          <w:highlight w:val="none"/>
        </w:rPr>
      </w:pPr>
    </w:p>
    <w:tbl>
      <w:tblPr>
        <w:tblStyle w:val="30"/>
        <w:tblW w:w="8789"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70" w:type="dxa"/>
          <w:bottom w:w="0" w:type="dxa"/>
          <w:right w:w="70" w:type="dxa"/>
        </w:tblCellMar>
      </w:tblPr>
      <w:tblGrid>
        <w:gridCol w:w="993"/>
        <w:gridCol w:w="1671"/>
        <w:gridCol w:w="875"/>
        <w:gridCol w:w="875"/>
        <w:gridCol w:w="875"/>
        <w:gridCol w:w="875"/>
        <w:gridCol w:w="875"/>
        <w:gridCol w:w="875"/>
        <w:gridCol w:w="875"/>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70" w:type="dxa"/>
            <w:bottom w:w="0" w:type="dxa"/>
            <w:right w:w="70" w:type="dxa"/>
          </w:tblCellMar>
        </w:tblPrEx>
        <w:trPr>
          <w:trHeight w:val="315" w:hRule="atLeast"/>
          <w:jc w:val="center"/>
        </w:trPr>
        <w:tc>
          <w:tcPr>
            <w:tcW w:w="993" w:type="dxa"/>
            <w:vMerge w:val="restart"/>
            <w:vAlign w:val="center"/>
          </w:tcPr>
          <w:p>
            <w:pPr>
              <w:jc w:val="center"/>
              <w:rPr>
                <w:bCs/>
                <w:szCs w:val="20"/>
                <w:highlight w:val="none"/>
                <w:lang w:eastAsia="pt-BR"/>
              </w:rPr>
            </w:pPr>
            <w:r>
              <w:rPr>
                <w:bCs/>
                <w:szCs w:val="20"/>
                <w:highlight w:val="none"/>
                <w:lang w:eastAsia="pt-BR"/>
              </w:rPr>
              <w:t>Lote</w:t>
            </w:r>
          </w:p>
        </w:tc>
        <w:tc>
          <w:tcPr>
            <w:tcW w:w="1671" w:type="dxa"/>
            <w:vMerge w:val="restart"/>
            <w:vAlign w:val="center"/>
          </w:tcPr>
          <w:p>
            <w:pPr>
              <w:jc w:val="center"/>
              <w:rPr>
                <w:bCs/>
                <w:szCs w:val="20"/>
                <w:highlight w:val="none"/>
                <w:lang w:eastAsia="pt-BR"/>
              </w:rPr>
            </w:pPr>
            <w:r>
              <w:rPr>
                <w:bCs/>
                <w:szCs w:val="20"/>
                <w:highlight w:val="none"/>
                <w:lang w:eastAsia="pt-BR"/>
              </w:rPr>
              <w:t>Município</w:t>
            </w:r>
          </w:p>
        </w:tc>
        <w:tc>
          <w:tcPr>
            <w:tcW w:w="6125" w:type="dxa"/>
            <w:gridSpan w:val="7"/>
            <w:noWrap/>
            <w:vAlign w:val="center"/>
          </w:tcPr>
          <w:p>
            <w:pPr>
              <w:jc w:val="center"/>
              <w:rPr>
                <w:bCs/>
                <w:szCs w:val="20"/>
                <w:highlight w:val="none"/>
                <w:lang w:eastAsia="pt-BR"/>
              </w:rPr>
            </w:pPr>
            <w:r>
              <w:rPr>
                <w:bCs/>
                <w:szCs w:val="20"/>
                <w:highlight w:val="none"/>
                <w:lang w:eastAsia="pt-BR"/>
              </w:rPr>
              <w:t>Fator</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70" w:type="dxa"/>
            <w:bottom w:w="0" w:type="dxa"/>
            <w:right w:w="70" w:type="dxa"/>
          </w:tblCellMar>
        </w:tblPrEx>
        <w:trPr>
          <w:trHeight w:val="315" w:hRule="atLeast"/>
          <w:jc w:val="center"/>
        </w:trPr>
        <w:tc>
          <w:tcPr>
            <w:tcW w:w="993" w:type="dxa"/>
            <w:vMerge w:val="continue"/>
            <w:vAlign w:val="center"/>
          </w:tcPr>
          <w:p>
            <w:pPr>
              <w:rPr>
                <w:bCs/>
                <w:szCs w:val="20"/>
                <w:highlight w:val="none"/>
                <w:lang w:eastAsia="pt-BR"/>
              </w:rPr>
            </w:pPr>
          </w:p>
        </w:tc>
        <w:tc>
          <w:tcPr>
            <w:tcW w:w="1671" w:type="dxa"/>
            <w:vMerge w:val="continue"/>
          </w:tcPr>
          <w:p>
            <w:pPr>
              <w:jc w:val="center"/>
              <w:rPr>
                <w:bCs/>
                <w:szCs w:val="20"/>
                <w:highlight w:val="none"/>
                <w:lang w:eastAsia="pt-BR"/>
              </w:rPr>
            </w:pPr>
          </w:p>
        </w:tc>
        <w:tc>
          <w:tcPr>
            <w:tcW w:w="875" w:type="dxa"/>
            <w:noWrap/>
            <w:vAlign w:val="center"/>
          </w:tcPr>
          <w:p>
            <w:pPr>
              <w:jc w:val="center"/>
              <w:rPr>
                <w:bCs/>
                <w:szCs w:val="20"/>
                <w:highlight w:val="none"/>
                <w:lang w:eastAsia="pt-BR"/>
              </w:rPr>
            </w:pPr>
            <w:r>
              <w:rPr>
                <w:bCs/>
                <w:szCs w:val="20"/>
                <w:highlight w:val="none"/>
                <w:lang w:eastAsia="pt-BR"/>
              </w:rPr>
              <w:t>N1</w:t>
            </w:r>
          </w:p>
        </w:tc>
        <w:tc>
          <w:tcPr>
            <w:tcW w:w="875" w:type="dxa"/>
            <w:noWrap/>
            <w:vAlign w:val="center"/>
          </w:tcPr>
          <w:p>
            <w:pPr>
              <w:jc w:val="center"/>
              <w:rPr>
                <w:bCs/>
                <w:szCs w:val="20"/>
                <w:highlight w:val="none"/>
                <w:lang w:eastAsia="pt-BR"/>
              </w:rPr>
            </w:pPr>
            <w:r>
              <w:rPr>
                <w:bCs/>
                <w:szCs w:val="20"/>
                <w:highlight w:val="none"/>
                <w:lang w:eastAsia="pt-BR"/>
              </w:rPr>
              <w:t>N2</w:t>
            </w:r>
          </w:p>
        </w:tc>
        <w:tc>
          <w:tcPr>
            <w:tcW w:w="875" w:type="dxa"/>
            <w:noWrap/>
            <w:vAlign w:val="center"/>
          </w:tcPr>
          <w:p>
            <w:pPr>
              <w:jc w:val="center"/>
              <w:rPr>
                <w:bCs/>
                <w:szCs w:val="20"/>
                <w:highlight w:val="none"/>
                <w:lang w:eastAsia="pt-BR"/>
              </w:rPr>
            </w:pPr>
            <w:r>
              <w:rPr>
                <w:bCs/>
                <w:szCs w:val="20"/>
                <w:highlight w:val="none"/>
                <w:lang w:eastAsia="pt-BR"/>
              </w:rPr>
              <w:t>N3</w:t>
            </w:r>
          </w:p>
        </w:tc>
        <w:tc>
          <w:tcPr>
            <w:tcW w:w="875" w:type="dxa"/>
            <w:noWrap/>
            <w:vAlign w:val="center"/>
          </w:tcPr>
          <w:p>
            <w:pPr>
              <w:jc w:val="center"/>
              <w:rPr>
                <w:bCs/>
                <w:szCs w:val="20"/>
                <w:highlight w:val="none"/>
                <w:lang w:eastAsia="pt-BR"/>
              </w:rPr>
            </w:pPr>
            <w:r>
              <w:rPr>
                <w:bCs/>
                <w:szCs w:val="20"/>
                <w:highlight w:val="none"/>
                <w:lang w:eastAsia="pt-BR"/>
              </w:rPr>
              <w:t>N4</w:t>
            </w:r>
          </w:p>
        </w:tc>
        <w:tc>
          <w:tcPr>
            <w:tcW w:w="875" w:type="dxa"/>
            <w:noWrap/>
            <w:vAlign w:val="center"/>
          </w:tcPr>
          <w:p>
            <w:pPr>
              <w:jc w:val="center"/>
              <w:rPr>
                <w:bCs/>
                <w:szCs w:val="20"/>
                <w:highlight w:val="none"/>
                <w:lang w:eastAsia="pt-BR"/>
              </w:rPr>
            </w:pPr>
            <w:r>
              <w:rPr>
                <w:bCs/>
                <w:szCs w:val="20"/>
                <w:highlight w:val="none"/>
                <w:lang w:eastAsia="pt-BR"/>
              </w:rPr>
              <w:t>N5</w:t>
            </w:r>
          </w:p>
        </w:tc>
        <w:tc>
          <w:tcPr>
            <w:tcW w:w="875" w:type="dxa"/>
            <w:noWrap/>
            <w:vAlign w:val="center"/>
          </w:tcPr>
          <w:p>
            <w:pPr>
              <w:jc w:val="center"/>
              <w:rPr>
                <w:bCs/>
                <w:szCs w:val="20"/>
                <w:highlight w:val="none"/>
                <w:lang w:eastAsia="pt-BR"/>
              </w:rPr>
            </w:pPr>
            <w:r>
              <w:rPr>
                <w:bCs/>
                <w:szCs w:val="20"/>
                <w:highlight w:val="none"/>
                <w:lang w:eastAsia="pt-BR"/>
              </w:rPr>
              <w:t>N6</w:t>
            </w:r>
          </w:p>
        </w:tc>
        <w:tc>
          <w:tcPr>
            <w:tcW w:w="875" w:type="dxa"/>
            <w:noWrap/>
            <w:vAlign w:val="center"/>
          </w:tcPr>
          <w:p>
            <w:pPr>
              <w:jc w:val="center"/>
              <w:rPr>
                <w:bCs/>
                <w:szCs w:val="20"/>
                <w:highlight w:val="none"/>
                <w:lang w:eastAsia="pt-BR"/>
              </w:rPr>
            </w:pPr>
            <w:r>
              <w:rPr>
                <w:bCs/>
                <w:szCs w:val="20"/>
                <w:highlight w:val="none"/>
                <w:lang w:eastAsia="pt-BR"/>
              </w:rPr>
              <w:t>N7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70" w:type="dxa"/>
            <w:bottom w:w="0" w:type="dxa"/>
            <w:right w:w="70" w:type="dxa"/>
          </w:tblCellMar>
        </w:tblPrEx>
        <w:trPr>
          <w:trHeight w:val="300" w:hRule="atLeast"/>
          <w:jc w:val="center"/>
        </w:trPr>
        <w:tc>
          <w:tcPr>
            <w:tcW w:w="993" w:type="dxa"/>
            <w:noWrap/>
            <w:vAlign w:val="center"/>
          </w:tcPr>
          <w:p>
            <w:pPr>
              <w:jc w:val="center"/>
              <w:rPr>
                <w:bCs/>
                <w:szCs w:val="20"/>
                <w:highlight w:val="none"/>
                <w:lang w:eastAsia="pt-BR"/>
              </w:rPr>
            </w:pPr>
            <w:r>
              <w:rPr>
                <w:bCs/>
                <w:szCs w:val="20"/>
                <w:highlight w:val="none"/>
                <w:lang w:eastAsia="pt-BR"/>
              </w:rPr>
              <w:t>Único</w:t>
            </w:r>
          </w:p>
        </w:tc>
        <w:tc>
          <w:tcPr>
            <w:tcW w:w="1671" w:type="dxa"/>
            <w:vAlign w:val="center"/>
          </w:tcPr>
          <w:p>
            <w:pPr>
              <w:jc w:val="center"/>
              <w:rPr>
                <w:szCs w:val="20"/>
                <w:highlight w:val="none"/>
                <w:lang w:eastAsia="pt-BR"/>
              </w:rPr>
            </w:pPr>
            <w:r>
              <w:rPr>
                <w:szCs w:val="20"/>
                <w:highlight w:val="none"/>
                <w:lang w:eastAsia="pt-BR"/>
              </w:rPr>
              <w:t>Bom Jesus da Lapa/BA</w:t>
            </w:r>
          </w:p>
        </w:tc>
        <w:tc>
          <w:tcPr>
            <w:tcW w:w="875" w:type="dxa"/>
            <w:noWrap/>
            <w:vAlign w:val="center"/>
          </w:tcPr>
          <w:p>
            <w:pPr>
              <w:jc w:val="center"/>
              <w:rPr>
                <w:szCs w:val="20"/>
                <w:highlight w:val="none"/>
                <w:lang w:eastAsia="pt-BR"/>
              </w:rPr>
            </w:pPr>
            <w:r>
              <w:rPr>
                <w:rFonts w:hint="default"/>
                <w:szCs w:val="20"/>
                <w:highlight w:val="none"/>
                <w:lang w:val="en-US" w:eastAsia="pt-BR"/>
              </w:rPr>
              <w:t>15</w:t>
            </w:r>
            <w:r>
              <w:rPr>
                <w:szCs w:val="20"/>
                <w:highlight w:val="none"/>
                <w:lang w:eastAsia="pt-BR"/>
              </w:rPr>
              <w:t>%</w:t>
            </w:r>
          </w:p>
        </w:tc>
        <w:tc>
          <w:tcPr>
            <w:tcW w:w="875" w:type="dxa"/>
            <w:noWrap/>
            <w:vAlign w:val="center"/>
          </w:tcPr>
          <w:p>
            <w:pPr>
              <w:jc w:val="center"/>
              <w:rPr>
                <w:szCs w:val="20"/>
                <w:highlight w:val="none"/>
                <w:lang w:eastAsia="pt-BR"/>
              </w:rPr>
            </w:pPr>
            <w:r>
              <w:rPr>
                <w:rFonts w:hint="default"/>
                <w:szCs w:val="20"/>
                <w:highlight w:val="none"/>
                <w:lang w:val="en-US" w:eastAsia="pt-BR"/>
              </w:rPr>
              <w:t>0</w:t>
            </w:r>
            <w:r>
              <w:rPr>
                <w:szCs w:val="20"/>
                <w:highlight w:val="none"/>
                <w:lang w:eastAsia="pt-BR"/>
              </w:rPr>
              <w:t>%</w:t>
            </w:r>
          </w:p>
        </w:tc>
        <w:tc>
          <w:tcPr>
            <w:tcW w:w="875" w:type="dxa"/>
            <w:noWrap/>
            <w:vAlign w:val="center"/>
          </w:tcPr>
          <w:p>
            <w:pPr>
              <w:jc w:val="center"/>
              <w:rPr>
                <w:szCs w:val="20"/>
                <w:highlight w:val="none"/>
                <w:lang w:eastAsia="pt-BR"/>
              </w:rPr>
            </w:pPr>
            <w:r>
              <w:rPr>
                <w:rFonts w:hint="default"/>
                <w:szCs w:val="20"/>
                <w:highlight w:val="none"/>
                <w:lang w:val="en-US" w:eastAsia="pt-BR"/>
              </w:rPr>
              <w:t>2</w:t>
            </w:r>
            <w:r>
              <w:rPr>
                <w:szCs w:val="20"/>
                <w:highlight w:val="none"/>
                <w:lang w:eastAsia="pt-BR"/>
              </w:rPr>
              <w:t>5%</w:t>
            </w:r>
          </w:p>
        </w:tc>
        <w:tc>
          <w:tcPr>
            <w:tcW w:w="875" w:type="dxa"/>
            <w:noWrap/>
            <w:vAlign w:val="center"/>
          </w:tcPr>
          <w:p>
            <w:pPr>
              <w:jc w:val="center"/>
              <w:rPr>
                <w:szCs w:val="20"/>
                <w:highlight w:val="none"/>
                <w:lang w:eastAsia="pt-BR"/>
              </w:rPr>
            </w:pPr>
            <w:r>
              <w:rPr>
                <w:rFonts w:hint="default"/>
                <w:szCs w:val="20"/>
                <w:highlight w:val="none"/>
                <w:lang w:val="en-US" w:eastAsia="pt-BR"/>
              </w:rPr>
              <w:t>25</w:t>
            </w:r>
            <w:r>
              <w:rPr>
                <w:szCs w:val="20"/>
                <w:highlight w:val="none"/>
                <w:lang w:eastAsia="pt-BR"/>
              </w:rPr>
              <w:t>%</w:t>
            </w:r>
          </w:p>
        </w:tc>
        <w:tc>
          <w:tcPr>
            <w:tcW w:w="875" w:type="dxa"/>
            <w:noWrap/>
            <w:vAlign w:val="center"/>
          </w:tcPr>
          <w:p>
            <w:pPr>
              <w:jc w:val="center"/>
              <w:rPr>
                <w:szCs w:val="20"/>
                <w:highlight w:val="none"/>
                <w:lang w:eastAsia="pt-BR"/>
              </w:rPr>
            </w:pPr>
            <w:r>
              <w:rPr>
                <w:rFonts w:hint="default"/>
                <w:szCs w:val="20"/>
                <w:highlight w:val="none"/>
                <w:lang w:val="en-US" w:eastAsia="pt-BR"/>
              </w:rPr>
              <w:t>5</w:t>
            </w:r>
            <w:r>
              <w:rPr>
                <w:szCs w:val="20"/>
                <w:highlight w:val="none"/>
                <w:lang w:eastAsia="pt-BR"/>
              </w:rPr>
              <w:t>%</w:t>
            </w:r>
          </w:p>
        </w:tc>
        <w:tc>
          <w:tcPr>
            <w:tcW w:w="875" w:type="dxa"/>
            <w:noWrap/>
            <w:vAlign w:val="center"/>
          </w:tcPr>
          <w:p>
            <w:pPr>
              <w:jc w:val="center"/>
              <w:rPr>
                <w:szCs w:val="20"/>
                <w:highlight w:val="none"/>
                <w:lang w:eastAsia="pt-BR"/>
              </w:rPr>
            </w:pPr>
            <w:r>
              <w:rPr>
                <w:szCs w:val="20"/>
                <w:highlight w:val="none"/>
                <w:lang w:val="en-US" w:eastAsia="pt-BR"/>
              </w:rPr>
              <w:t>1</w:t>
            </w:r>
            <w:r>
              <w:rPr>
                <w:rFonts w:hint="default"/>
                <w:szCs w:val="20"/>
                <w:highlight w:val="none"/>
                <w:lang w:val="en-US" w:eastAsia="pt-BR"/>
              </w:rPr>
              <w:t>0</w:t>
            </w:r>
            <w:r>
              <w:rPr>
                <w:szCs w:val="20"/>
                <w:highlight w:val="none"/>
                <w:lang w:eastAsia="pt-BR"/>
              </w:rPr>
              <w:t>%</w:t>
            </w:r>
          </w:p>
        </w:tc>
        <w:tc>
          <w:tcPr>
            <w:tcW w:w="875" w:type="dxa"/>
            <w:noWrap/>
            <w:vAlign w:val="center"/>
          </w:tcPr>
          <w:p>
            <w:pPr>
              <w:jc w:val="center"/>
              <w:rPr>
                <w:szCs w:val="20"/>
                <w:highlight w:val="none"/>
                <w:lang w:eastAsia="pt-BR"/>
              </w:rPr>
            </w:pPr>
            <w:r>
              <w:rPr>
                <w:rFonts w:hint="default"/>
                <w:szCs w:val="20"/>
                <w:highlight w:val="none"/>
                <w:lang w:val="en-US" w:eastAsia="pt-BR"/>
              </w:rPr>
              <w:t>20</w:t>
            </w:r>
            <w:r>
              <w:rPr>
                <w:szCs w:val="20"/>
                <w:highlight w:val="none"/>
                <w:lang w:eastAsia="pt-BR"/>
              </w:rPr>
              <w:t>%</w:t>
            </w:r>
          </w:p>
        </w:tc>
      </w:tr>
    </w:tbl>
    <w:p>
      <w:pPr>
        <w:rPr>
          <w:szCs w:val="20"/>
          <w:highlight w:val="none"/>
        </w:rPr>
      </w:pPr>
    </w:p>
    <w:p>
      <w:pPr>
        <w:rPr>
          <w:szCs w:val="20"/>
          <w:highlight w:val="none"/>
        </w:rPr>
      </w:pPr>
    </w:p>
    <w:p>
      <w:pPr>
        <w:rPr>
          <w:szCs w:val="20"/>
          <w:highlight w:val="none"/>
        </w:rPr>
      </w:pPr>
    </w:p>
    <w:p>
      <w:pPr>
        <w:pStyle w:val="2"/>
        <w:tabs>
          <w:tab w:val="left" w:pos="851"/>
        </w:tabs>
        <w:ind w:left="851" w:hanging="851"/>
        <w:rPr>
          <w:b w:val="0"/>
          <w:bCs/>
          <w:szCs w:val="20"/>
          <w:highlight w:val="none"/>
        </w:rPr>
      </w:pPr>
      <w:bookmarkStart w:id="27" w:name="_Toc26436"/>
      <w:bookmarkStart w:id="28" w:name="_Ref494316114"/>
      <w:r>
        <w:rPr>
          <w:szCs w:val="20"/>
          <w:highlight w:val="none"/>
        </w:rPr>
        <w:t>MULTAS</w:t>
      </w:r>
      <w:bookmarkEnd w:id="27"/>
      <w:bookmarkEnd w:id="28"/>
    </w:p>
    <w:p>
      <w:pPr>
        <w:tabs>
          <w:tab w:val="left" w:pos="993"/>
        </w:tabs>
        <w:ind w:left="993"/>
        <w:rPr>
          <w:b/>
          <w:bCs/>
          <w:szCs w:val="20"/>
          <w:highlight w:val="none"/>
        </w:rPr>
      </w:pPr>
    </w:p>
    <w:p>
      <w:pPr>
        <w:pStyle w:val="4"/>
        <w:tabs>
          <w:tab w:val="left" w:pos="851"/>
        </w:tabs>
        <w:ind w:left="851" w:hanging="851"/>
        <w:rPr>
          <w:b/>
          <w:bCs/>
          <w:szCs w:val="20"/>
          <w:highlight w:val="none"/>
        </w:rPr>
      </w:pPr>
      <w:r>
        <w:rPr>
          <w:szCs w:val="20"/>
          <w:highlight w:val="none"/>
        </w:rPr>
        <w:t>Nos casos de inexecução total do contrato, por culpa exclusiva da CONTRATADA, cabe a aplicação de multa de 10% (dez por cento) do contrato, independente das demais sanções previstas no Regulamento Interno de Licitações e Contratos.</w:t>
      </w:r>
    </w:p>
    <w:p>
      <w:pPr>
        <w:tabs>
          <w:tab w:val="left" w:pos="993"/>
        </w:tabs>
        <w:ind w:left="993" w:hanging="993"/>
        <w:rPr>
          <w:b/>
          <w:bCs/>
          <w:szCs w:val="20"/>
          <w:highlight w:val="none"/>
        </w:rPr>
      </w:pPr>
    </w:p>
    <w:p>
      <w:pPr>
        <w:pStyle w:val="4"/>
        <w:tabs>
          <w:tab w:val="left" w:pos="851"/>
        </w:tabs>
        <w:ind w:left="851" w:hanging="851"/>
        <w:rPr>
          <w:b/>
          <w:bCs/>
          <w:szCs w:val="20"/>
          <w:highlight w:val="none"/>
        </w:rPr>
      </w:pPr>
      <w:bookmarkStart w:id="29" w:name="_Hlk526499167"/>
      <w:r>
        <w:rPr>
          <w:szCs w:val="20"/>
          <w:highlight w:val="none"/>
        </w:rPr>
        <w:t>Nos casos de inexecução parcial do objeto, por culpa exclusiva da CONTRATADA, será cobrada multa de 10% (dez por cento) do valor da parte não executada do contrato, sem prejuízo da responsabilidade civil e perdas das garantias contratuais.</w:t>
      </w:r>
    </w:p>
    <w:p>
      <w:pPr>
        <w:tabs>
          <w:tab w:val="left" w:pos="993"/>
        </w:tabs>
        <w:ind w:left="993" w:hanging="993"/>
        <w:rPr>
          <w:b/>
          <w:bCs/>
          <w:color w:val="00B0F0"/>
          <w:szCs w:val="20"/>
          <w:highlight w:val="none"/>
        </w:rPr>
      </w:pPr>
    </w:p>
    <w:p>
      <w:pPr>
        <w:pStyle w:val="4"/>
        <w:tabs>
          <w:tab w:val="left" w:pos="851"/>
        </w:tabs>
        <w:ind w:left="851" w:hanging="851"/>
        <w:rPr>
          <w:b/>
          <w:bCs/>
          <w:szCs w:val="20"/>
          <w:highlight w:val="none"/>
        </w:rPr>
      </w:pPr>
      <w:r>
        <w:rPr>
          <w:szCs w:val="20"/>
          <w:highlight w:val="none"/>
        </w:rPr>
        <w:t>Nos casos de atrasos na execução de serviços descritos no cronograma físico do objeto ou no atendimento às exigências contratuais e editalícias, por conta exclusiva da CONTRATADA, aplicar-se-á multa moratória conforme os graus de penalidades estabelecidos abaixo:</w:t>
      </w:r>
    </w:p>
    <w:p>
      <w:pPr>
        <w:tabs>
          <w:tab w:val="left" w:pos="993"/>
        </w:tabs>
        <w:ind w:left="993" w:hanging="993"/>
        <w:rPr>
          <w:b/>
          <w:bCs/>
          <w:szCs w:val="20"/>
          <w:highlight w:val="none"/>
        </w:rPr>
      </w:pPr>
    </w:p>
    <w:bookmarkEnd w:id="29"/>
    <w:p>
      <w:pPr>
        <w:tabs>
          <w:tab w:val="left" w:pos="993"/>
        </w:tabs>
        <w:ind w:left="993"/>
        <w:rPr>
          <w:szCs w:val="20"/>
          <w:highlight w:val="none"/>
          <w:u w:val="single"/>
        </w:rPr>
      </w:pPr>
      <w:r>
        <w:rPr>
          <w:szCs w:val="20"/>
          <w:highlight w:val="none"/>
          <w:u w:val="single"/>
        </w:rPr>
        <w:t>Graus de Penalidade:</w:t>
      </w:r>
    </w:p>
    <w:p>
      <w:pPr>
        <w:tabs>
          <w:tab w:val="left" w:pos="993"/>
        </w:tabs>
        <w:ind w:left="993"/>
        <w:rPr>
          <w:szCs w:val="20"/>
          <w:highlight w:val="none"/>
        </w:rPr>
      </w:pPr>
      <w:r>
        <w:rPr>
          <w:szCs w:val="20"/>
          <w:highlight w:val="none"/>
        </w:rPr>
        <w:t>Grau 01 – multa de R$ 100,00 (cem reais) por dia de atraso;</w:t>
      </w:r>
    </w:p>
    <w:p>
      <w:pPr>
        <w:tabs>
          <w:tab w:val="left" w:pos="993"/>
        </w:tabs>
        <w:ind w:left="993"/>
        <w:rPr>
          <w:szCs w:val="20"/>
          <w:highlight w:val="none"/>
        </w:rPr>
      </w:pPr>
      <w:r>
        <w:rPr>
          <w:szCs w:val="20"/>
          <w:highlight w:val="none"/>
        </w:rPr>
        <w:t>Grau 02 – multa de R$ 500,00 (quinhentos reais) por dia;</w:t>
      </w:r>
    </w:p>
    <w:p>
      <w:pPr>
        <w:tabs>
          <w:tab w:val="left" w:pos="993"/>
        </w:tabs>
        <w:ind w:left="993"/>
        <w:rPr>
          <w:szCs w:val="20"/>
          <w:highlight w:val="none"/>
        </w:rPr>
      </w:pPr>
      <w:r>
        <w:rPr>
          <w:szCs w:val="20"/>
          <w:highlight w:val="none"/>
        </w:rPr>
        <w:t>Grau 03 – multa de 0,2% por dia sobre o valor total do item estimado no cronograma físico-financeiro para o período;</w:t>
      </w:r>
    </w:p>
    <w:p>
      <w:pPr>
        <w:tabs>
          <w:tab w:val="left" w:pos="993"/>
        </w:tabs>
        <w:ind w:left="993"/>
        <w:rPr>
          <w:szCs w:val="20"/>
          <w:highlight w:val="none"/>
        </w:rPr>
      </w:pPr>
      <w:r>
        <w:rPr>
          <w:szCs w:val="20"/>
          <w:highlight w:val="none"/>
        </w:rPr>
        <w:t>Grau 04 – multa de 0,2% por dia sobre o valor contratual atualizado.</w:t>
      </w:r>
    </w:p>
    <w:p>
      <w:pPr>
        <w:tabs>
          <w:tab w:val="left" w:pos="993"/>
        </w:tabs>
        <w:ind w:left="993"/>
        <w:rPr>
          <w:szCs w:val="20"/>
          <w:highlight w:val="none"/>
        </w:rPr>
      </w:pPr>
    </w:p>
    <w:p>
      <w:pPr>
        <w:tabs>
          <w:tab w:val="left" w:pos="993"/>
        </w:tabs>
        <w:ind w:left="993"/>
        <w:jc w:val="center"/>
        <w:rPr>
          <w:b/>
          <w:szCs w:val="20"/>
          <w:highlight w:val="none"/>
        </w:rPr>
      </w:pPr>
      <w:r>
        <w:rPr>
          <w:b/>
          <w:szCs w:val="20"/>
          <w:highlight w:val="none"/>
        </w:rPr>
        <w:t>Tabela 01 – Inadimplências e o respectivo grau de penalidade</w:t>
      </w:r>
    </w:p>
    <w:tbl>
      <w:tblPr>
        <w:tblStyle w:val="30"/>
        <w:tblW w:w="8538" w:type="dxa"/>
        <w:tblInd w:w="1101"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7087"/>
        <w:gridCol w:w="1451"/>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087" w:type="dxa"/>
            <w:shd w:val="clear" w:color="auto" w:fill="auto"/>
            <w:vAlign w:val="center"/>
          </w:tcPr>
          <w:p>
            <w:pPr>
              <w:ind w:left="459" w:hanging="426"/>
              <w:jc w:val="center"/>
              <w:rPr>
                <w:b/>
                <w:szCs w:val="20"/>
                <w:highlight w:val="none"/>
              </w:rPr>
            </w:pPr>
            <w:bookmarkStart w:id="30" w:name="_Hlk524618255"/>
            <w:bookmarkStart w:id="31" w:name="_Hlk524618173"/>
            <w:bookmarkStart w:id="32" w:name="_Hlk525742726"/>
            <w:bookmarkStart w:id="33" w:name="_Hlk524618225"/>
            <w:r>
              <w:rPr>
                <w:b/>
                <w:szCs w:val="20"/>
                <w:highlight w:val="none"/>
              </w:rPr>
              <w:t>Inadimplências</w:t>
            </w:r>
          </w:p>
        </w:tc>
        <w:tc>
          <w:tcPr>
            <w:tcW w:w="1451" w:type="dxa"/>
            <w:shd w:val="clear" w:color="auto" w:fill="auto"/>
          </w:tcPr>
          <w:p>
            <w:pPr>
              <w:tabs>
                <w:tab w:val="left" w:pos="993"/>
              </w:tabs>
              <w:jc w:val="center"/>
              <w:rPr>
                <w:b/>
                <w:szCs w:val="20"/>
                <w:highlight w:val="none"/>
              </w:rPr>
            </w:pPr>
            <w:r>
              <w:rPr>
                <w:b/>
                <w:szCs w:val="20"/>
                <w:highlight w:val="none"/>
              </w:rPr>
              <w:t>Grau de Penalidade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087" w:type="dxa"/>
            <w:shd w:val="clear" w:color="auto" w:fill="auto"/>
          </w:tcPr>
          <w:p>
            <w:pPr>
              <w:numPr>
                <w:ilvl w:val="0"/>
                <w:numId w:val="22"/>
              </w:numPr>
              <w:ind w:left="459" w:hanging="426"/>
              <w:rPr>
                <w:szCs w:val="20"/>
                <w:highlight w:val="none"/>
              </w:rPr>
            </w:pPr>
            <w:r>
              <w:rPr>
                <w:szCs w:val="20"/>
                <w:highlight w:val="none"/>
              </w:rPr>
              <w:t>Pelo não atendimento à determinação estipulada pela FISCALIZAÇÃO, no prazo por ela estabelecido, desde que seja comunicada à CONTRATADA através do registro no Diário de Obras ou no Livro de Ocorrências ou por outro documento escrito.</w:t>
            </w:r>
          </w:p>
        </w:tc>
        <w:tc>
          <w:tcPr>
            <w:tcW w:w="1451" w:type="dxa"/>
            <w:shd w:val="clear" w:color="auto" w:fill="auto"/>
          </w:tcPr>
          <w:p>
            <w:pPr>
              <w:tabs>
                <w:tab w:val="left" w:pos="993"/>
              </w:tabs>
              <w:jc w:val="center"/>
              <w:rPr>
                <w:szCs w:val="20"/>
                <w:highlight w:val="none"/>
              </w:rPr>
            </w:pPr>
            <w:r>
              <w:rPr>
                <w:szCs w:val="20"/>
                <w:highlight w:val="none"/>
              </w:rPr>
              <w:t>01</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087" w:type="dxa"/>
            <w:shd w:val="clear" w:color="auto" w:fill="auto"/>
          </w:tcPr>
          <w:p>
            <w:pPr>
              <w:numPr>
                <w:ilvl w:val="0"/>
                <w:numId w:val="22"/>
              </w:numPr>
              <w:ind w:left="459" w:hanging="426"/>
              <w:rPr>
                <w:szCs w:val="20"/>
                <w:highlight w:val="none"/>
              </w:rPr>
            </w:pPr>
            <w:r>
              <w:rPr>
                <w:szCs w:val="20"/>
                <w:highlight w:val="none"/>
              </w:rPr>
              <w:t>Pela não apresentação de itens exigidos em cláusulas editalícias ou contratuais, dentro do prazo estabelecido.</w:t>
            </w:r>
          </w:p>
        </w:tc>
        <w:tc>
          <w:tcPr>
            <w:tcW w:w="1451" w:type="dxa"/>
            <w:shd w:val="clear" w:color="auto" w:fill="auto"/>
          </w:tcPr>
          <w:p>
            <w:pPr>
              <w:tabs>
                <w:tab w:val="left" w:pos="993"/>
              </w:tabs>
              <w:jc w:val="center"/>
              <w:rPr>
                <w:szCs w:val="20"/>
                <w:highlight w:val="none"/>
              </w:rPr>
            </w:pPr>
            <w:r>
              <w:rPr>
                <w:szCs w:val="20"/>
                <w:highlight w:val="none"/>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087" w:type="dxa"/>
            <w:shd w:val="clear" w:color="auto" w:fill="auto"/>
          </w:tcPr>
          <w:p>
            <w:pPr>
              <w:numPr>
                <w:ilvl w:val="0"/>
                <w:numId w:val="22"/>
              </w:numPr>
              <w:ind w:left="459" w:hanging="426"/>
              <w:rPr>
                <w:szCs w:val="20"/>
                <w:highlight w:val="none"/>
              </w:rPr>
            </w:pPr>
            <w:r>
              <w:rPr>
                <w:szCs w:val="20"/>
                <w:highlight w:val="none"/>
              </w:rPr>
              <w:t>Por dificultar ou impedir o acesso da FISCALIZAÇÃO a documentos, materiais e canteiros de obras.</w:t>
            </w:r>
          </w:p>
        </w:tc>
        <w:tc>
          <w:tcPr>
            <w:tcW w:w="1451" w:type="dxa"/>
            <w:shd w:val="clear" w:color="auto" w:fill="auto"/>
          </w:tcPr>
          <w:p>
            <w:pPr>
              <w:tabs>
                <w:tab w:val="left" w:pos="993"/>
              </w:tabs>
              <w:jc w:val="center"/>
              <w:rPr>
                <w:szCs w:val="20"/>
                <w:highlight w:val="none"/>
              </w:rPr>
            </w:pPr>
            <w:r>
              <w:rPr>
                <w:szCs w:val="20"/>
                <w:highlight w:val="none"/>
              </w:rPr>
              <w:t>02</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087" w:type="dxa"/>
            <w:shd w:val="clear" w:color="auto" w:fill="auto"/>
          </w:tcPr>
          <w:p>
            <w:pPr>
              <w:numPr>
                <w:ilvl w:val="0"/>
                <w:numId w:val="22"/>
              </w:numPr>
              <w:ind w:left="459" w:hanging="426"/>
              <w:rPr>
                <w:szCs w:val="20"/>
                <w:highlight w:val="none"/>
              </w:rPr>
            </w:pPr>
            <w:r>
              <w:rPr>
                <w:szCs w:val="20"/>
                <w:highlight w:val="none"/>
              </w:rPr>
              <w:t>Pelo atraso no cumprimento dos prazos estabelecidos no Cronograma Físico do objeto, desde que injustificados ou cuja justificativa não tenha sido aceita pela FISCALIZAÇÃO.</w:t>
            </w:r>
          </w:p>
        </w:tc>
        <w:tc>
          <w:tcPr>
            <w:tcW w:w="1451" w:type="dxa"/>
            <w:shd w:val="clear" w:color="auto" w:fill="auto"/>
          </w:tcPr>
          <w:p>
            <w:pPr>
              <w:tabs>
                <w:tab w:val="left" w:pos="993"/>
              </w:tabs>
              <w:jc w:val="center"/>
              <w:rPr>
                <w:szCs w:val="20"/>
                <w:highlight w:val="none"/>
              </w:rPr>
            </w:pPr>
            <w:r>
              <w:rPr>
                <w:szCs w:val="20"/>
                <w:highlight w:val="none"/>
              </w:rPr>
              <w:t>03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c>
          <w:tcPr>
            <w:tcW w:w="7087" w:type="dxa"/>
            <w:shd w:val="clear" w:color="auto" w:fill="auto"/>
          </w:tcPr>
          <w:p>
            <w:pPr>
              <w:numPr>
                <w:ilvl w:val="0"/>
                <w:numId w:val="22"/>
              </w:numPr>
              <w:ind w:left="459" w:hanging="426"/>
              <w:rPr>
                <w:szCs w:val="20"/>
                <w:highlight w:val="none"/>
              </w:rPr>
            </w:pPr>
            <w:r>
              <w:rPr>
                <w:szCs w:val="20"/>
                <w:highlight w:val="none"/>
              </w:rPr>
              <w:t>Pelo atraso na conclusão do objeto, em conformidade com o prazo contratado ou aditado.</w:t>
            </w:r>
          </w:p>
        </w:tc>
        <w:tc>
          <w:tcPr>
            <w:tcW w:w="1451" w:type="dxa"/>
            <w:shd w:val="clear" w:color="auto" w:fill="auto"/>
          </w:tcPr>
          <w:p>
            <w:pPr>
              <w:tabs>
                <w:tab w:val="left" w:pos="993"/>
              </w:tabs>
              <w:jc w:val="center"/>
              <w:rPr>
                <w:szCs w:val="20"/>
                <w:highlight w:val="none"/>
              </w:rPr>
            </w:pPr>
            <w:r>
              <w:rPr>
                <w:szCs w:val="20"/>
                <w:highlight w:val="none"/>
              </w:rPr>
              <w:t>04</w:t>
            </w:r>
          </w:p>
        </w:tc>
      </w:tr>
      <w:bookmarkEnd w:id="30"/>
      <w:bookmarkEnd w:id="31"/>
    </w:tbl>
    <w:p>
      <w:pPr>
        <w:tabs>
          <w:tab w:val="left" w:pos="993"/>
        </w:tabs>
        <w:rPr>
          <w:szCs w:val="20"/>
          <w:highlight w:val="none"/>
        </w:rPr>
      </w:pPr>
    </w:p>
    <w:bookmarkEnd w:id="32"/>
    <w:p>
      <w:pPr>
        <w:pStyle w:val="4"/>
        <w:tabs>
          <w:tab w:val="left" w:pos="851"/>
        </w:tabs>
        <w:ind w:left="851" w:hanging="851"/>
        <w:rPr>
          <w:b/>
          <w:bCs/>
          <w:szCs w:val="20"/>
          <w:highlight w:val="none"/>
        </w:rPr>
      </w:pPr>
      <w:r>
        <w:rPr>
          <w:szCs w:val="20"/>
          <w:highlight w:val="none"/>
        </w:rPr>
        <w:t xml:space="preserve">Comprovando o impedimento ou reconhecida a força maior, devidamente justificados </w:t>
      </w:r>
      <w:bookmarkEnd w:id="33"/>
      <w:r>
        <w:rPr>
          <w:szCs w:val="20"/>
          <w:highlight w:val="none"/>
        </w:rPr>
        <w:t>e aceitos pela FISCALIZAÇÃO, em relação a um dos eventos arrolados na Tabela 01, a CONTRATADA ficará isenta das penalidades mencionadas.</w:t>
      </w:r>
    </w:p>
    <w:p>
      <w:pPr>
        <w:tabs>
          <w:tab w:val="left" w:pos="993"/>
        </w:tabs>
        <w:ind w:left="993" w:hanging="993"/>
        <w:rPr>
          <w:b/>
          <w:bCs/>
          <w:szCs w:val="20"/>
          <w:highlight w:val="none"/>
        </w:rPr>
      </w:pPr>
    </w:p>
    <w:p>
      <w:pPr>
        <w:pStyle w:val="4"/>
        <w:tabs>
          <w:tab w:val="left" w:pos="851"/>
        </w:tabs>
        <w:ind w:left="851" w:hanging="851"/>
        <w:rPr>
          <w:b/>
          <w:bCs/>
          <w:szCs w:val="20"/>
          <w:highlight w:val="none"/>
        </w:rPr>
      </w:pPr>
      <w:r>
        <w:rPr>
          <w:szCs w:val="20"/>
          <w:highlight w:val="none"/>
        </w:rPr>
        <w:t xml:space="preserve">Ocorrida a inadimplência, a multa será aplicada pela </w:t>
      </w:r>
      <w:r>
        <w:rPr>
          <w:b/>
          <w:szCs w:val="20"/>
          <w:highlight w:val="none"/>
        </w:rPr>
        <w:t>Codevasf</w:t>
      </w:r>
      <w:r>
        <w:rPr>
          <w:szCs w:val="20"/>
          <w:highlight w:val="none"/>
        </w:rPr>
        <w:t>, após regular processo administrativo, observando-se o seguinte.</w:t>
      </w:r>
    </w:p>
    <w:p>
      <w:pPr>
        <w:numPr>
          <w:ilvl w:val="0"/>
          <w:numId w:val="23"/>
        </w:numPr>
        <w:tabs>
          <w:tab w:val="left" w:pos="1418"/>
        </w:tabs>
        <w:spacing w:before="120" w:after="120"/>
        <w:rPr>
          <w:szCs w:val="20"/>
          <w:highlight w:val="none"/>
        </w:rPr>
      </w:pPr>
      <w:r>
        <w:rPr>
          <w:szCs w:val="20"/>
          <w:highlight w:val="none"/>
        </w:rPr>
        <w:t>A multa será descontada da garantia prestada pela contratada;</w:t>
      </w:r>
    </w:p>
    <w:p>
      <w:pPr>
        <w:numPr>
          <w:ilvl w:val="0"/>
          <w:numId w:val="23"/>
        </w:numPr>
        <w:rPr>
          <w:szCs w:val="20"/>
          <w:highlight w:val="none"/>
        </w:rPr>
      </w:pPr>
      <w:r>
        <w:rPr>
          <w:szCs w:val="20"/>
          <w:highlight w:val="none"/>
        </w:rPr>
        <w:t>Caso o valor da multa seja de valor superior ao valor da garantia prestada, além da perda desta, responderá a contratada pela sua diferença, a qual será descontada dos pagamentos eventualmente devidos pela Administração ou ainda, quando for o caso, cobrada judicialmente;</w:t>
      </w:r>
    </w:p>
    <w:p>
      <w:pPr>
        <w:numPr>
          <w:ilvl w:val="0"/>
          <w:numId w:val="23"/>
        </w:numPr>
        <w:rPr>
          <w:szCs w:val="20"/>
          <w:highlight w:val="none"/>
        </w:rPr>
      </w:pPr>
      <w:r>
        <w:rPr>
          <w:szCs w:val="20"/>
          <w:highlight w:val="none"/>
        </w:rPr>
        <w:t>Caso o valor do faturamento seja insuficiente para cobrir a multa, a contratada será convocada para complementação do seu valor no prazo de 5 (cinco) dias a contar da data da convocação;</w:t>
      </w:r>
    </w:p>
    <w:p>
      <w:pPr>
        <w:numPr>
          <w:ilvl w:val="0"/>
          <w:numId w:val="23"/>
        </w:numPr>
        <w:rPr>
          <w:szCs w:val="20"/>
          <w:highlight w:val="none"/>
        </w:rPr>
      </w:pPr>
      <w:r>
        <w:rPr>
          <w:szCs w:val="20"/>
          <w:highlight w:val="none"/>
        </w:rPr>
        <w:t>Não havendo qualquer importância a ser recebida pela contratada, esta será convocada a recolher à Unidade Regional de Finanças da Codevasf – 2ª/GRA/UFN - o valor total da multa, no prazo de 5 (cinco) dias, contado a partir da data da comunicação.</w:t>
      </w:r>
    </w:p>
    <w:p>
      <w:pPr>
        <w:rPr>
          <w:szCs w:val="20"/>
          <w:highlight w:val="none"/>
        </w:rPr>
      </w:pPr>
    </w:p>
    <w:p>
      <w:pPr>
        <w:pStyle w:val="4"/>
        <w:tabs>
          <w:tab w:val="left" w:pos="851"/>
        </w:tabs>
        <w:ind w:left="851" w:hanging="851"/>
        <w:rPr>
          <w:szCs w:val="20"/>
          <w:highlight w:val="none"/>
        </w:rPr>
      </w:pPr>
      <w:r>
        <w:rPr>
          <w:szCs w:val="20"/>
          <w:highlight w:val="none"/>
        </w:rPr>
        <w:t>O licitante vencedor terá um prazo inicialmente de 10(dez) dias úteis para defesa prévia e, posteriormente, diante de uma eventual decisão que lhe tenha sido desfavorável, terá mais um prazo de 05(cinco) dias úteis, contado a partir da data de cientificação da aplicação multa, para apresentar recurso à Codevasf. Ouvida a fiscalização e acompanhamento do contrato, o recurso será encaminhado à Assessoria Jurídica da Superintendência Regional/Sede, que procederá ao seu exame.</w:t>
      </w:r>
    </w:p>
    <w:p>
      <w:pPr>
        <w:rPr>
          <w:szCs w:val="20"/>
          <w:highlight w:val="none"/>
        </w:rPr>
      </w:pPr>
    </w:p>
    <w:p>
      <w:pPr>
        <w:pStyle w:val="4"/>
        <w:tabs>
          <w:tab w:val="left" w:pos="851"/>
        </w:tabs>
        <w:ind w:left="851" w:hanging="851"/>
        <w:rPr>
          <w:szCs w:val="20"/>
          <w:highlight w:val="none"/>
        </w:rPr>
      </w:pPr>
      <w:r>
        <w:rPr>
          <w:szCs w:val="20"/>
          <w:highlight w:val="none"/>
        </w:rPr>
        <w:t xml:space="preserve">Após o procedimento estabelecido no item anterior, o recurso será apreciado pela </w:t>
      </w:r>
      <w:r>
        <w:rPr>
          <w:rFonts w:hint="default"/>
          <w:szCs w:val="20"/>
          <w:highlight w:val="none"/>
          <w:lang w:val="pt-BR"/>
        </w:rPr>
        <w:t>autoridade competente</w:t>
      </w:r>
      <w:r>
        <w:rPr>
          <w:szCs w:val="20"/>
          <w:highlight w:val="none"/>
        </w:rPr>
        <w:t xml:space="preserve"> da </w:t>
      </w:r>
      <w:r>
        <w:rPr>
          <w:b/>
          <w:szCs w:val="20"/>
          <w:highlight w:val="none"/>
        </w:rPr>
        <w:t>Codevasf</w:t>
      </w:r>
      <w:r>
        <w:rPr>
          <w:szCs w:val="20"/>
          <w:highlight w:val="none"/>
        </w:rPr>
        <w:t>, que poderá relevar ou não a multa.</w:t>
      </w:r>
    </w:p>
    <w:p>
      <w:pPr>
        <w:tabs>
          <w:tab w:val="left" w:pos="993"/>
        </w:tabs>
        <w:ind w:left="993" w:hanging="993"/>
        <w:rPr>
          <w:szCs w:val="20"/>
          <w:highlight w:val="none"/>
        </w:rPr>
      </w:pPr>
    </w:p>
    <w:p>
      <w:pPr>
        <w:pStyle w:val="4"/>
        <w:tabs>
          <w:tab w:val="left" w:pos="851"/>
        </w:tabs>
        <w:ind w:left="851" w:hanging="851"/>
        <w:rPr>
          <w:szCs w:val="20"/>
          <w:highlight w:val="none"/>
        </w:rPr>
      </w:pPr>
      <w:r>
        <w:rPr>
          <w:szCs w:val="20"/>
          <w:highlight w:val="none"/>
        </w:rPr>
        <w:t xml:space="preserve">Em caso de relevação da multa, a </w:t>
      </w:r>
      <w:r>
        <w:rPr>
          <w:b/>
          <w:szCs w:val="20"/>
          <w:highlight w:val="none"/>
        </w:rPr>
        <w:t>Codevasf</w:t>
      </w:r>
      <w:r>
        <w:rPr>
          <w:szCs w:val="20"/>
          <w:highlight w:val="none"/>
        </w:rPr>
        <w:t xml:space="preserve"> se reserva o direito de cobrar perdas e danos porventura cabíveis em razão do inadimplemento de outras obrigações, não constituindo a relevação novação contratual nem desistência dos direitos que lhe forem assegurados.</w:t>
      </w:r>
    </w:p>
    <w:p>
      <w:pPr>
        <w:tabs>
          <w:tab w:val="left" w:pos="993"/>
        </w:tabs>
        <w:ind w:left="993" w:hanging="993"/>
        <w:rPr>
          <w:szCs w:val="20"/>
          <w:highlight w:val="none"/>
        </w:rPr>
      </w:pPr>
    </w:p>
    <w:p>
      <w:pPr>
        <w:pStyle w:val="4"/>
        <w:tabs>
          <w:tab w:val="left" w:pos="851"/>
        </w:tabs>
        <w:ind w:left="851" w:hanging="851"/>
        <w:rPr>
          <w:bCs/>
          <w:szCs w:val="20"/>
          <w:highlight w:val="none"/>
        </w:rPr>
      </w:pPr>
      <w:r>
        <w:rPr>
          <w:szCs w:val="20"/>
          <w:highlight w:val="none"/>
        </w:rPr>
        <w:t xml:space="preserve">Caso a </w:t>
      </w:r>
      <w:r>
        <w:rPr>
          <w:rFonts w:hint="default"/>
          <w:szCs w:val="20"/>
          <w:highlight w:val="none"/>
          <w:lang w:val="pt-BR"/>
        </w:rPr>
        <w:t>autoridade competente</w:t>
      </w:r>
      <w:r>
        <w:rPr>
          <w:szCs w:val="20"/>
          <w:highlight w:val="none"/>
        </w:rPr>
        <w:t xml:space="preserve"> mantenha a multa, não caberá novo recurso administrativo.</w:t>
      </w:r>
    </w:p>
    <w:p>
      <w:pPr>
        <w:rPr>
          <w:bCs/>
          <w:szCs w:val="20"/>
          <w:highlight w:val="none"/>
        </w:rPr>
      </w:pPr>
    </w:p>
    <w:p>
      <w:pPr>
        <w:tabs>
          <w:tab w:val="left" w:pos="993"/>
        </w:tabs>
        <w:rPr>
          <w:bCs/>
          <w:szCs w:val="20"/>
          <w:highlight w:val="none"/>
        </w:rPr>
      </w:pPr>
    </w:p>
    <w:p>
      <w:pPr>
        <w:pStyle w:val="2"/>
        <w:tabs>
          <w:tab w:val="left" w:pos="851"/>
        </w:tabs>
        <w:ind w:left="851" w:hanging="851"/>
        <w:rPr>
          <w:b w:val="0"/>
          <w:bCs/>
          <w:szCs w:val="20"/>
          <w:highlight w:val="none"/>
        </w:rPr>
      </w:pPr>
      <w:bookmarkStart w:id="34" w:name="_Toc317"/>
      <w:r>
        <w:rPr>
          <w:szCs w:val="20"/>
          <w:highlight w:val="none"/>
        </w:rPr>
        <w:t>GARANTIA</w:t>
      </w:r>
      <w:r>
        <w:rPr>
          <w:b w:val="0"/>
          <w:bCs/>
          <w:szCs w:val="20"/>
          <w:highlight w:val="none"/>
        </w:rPr>
        <w:t xml:space="preserve"> DE EXECUÇÃO</w:t>
      </w:r>
      <w:bookmarkEnd w:id="34"/>
    </w:p>
    <w:p>
      <w:pPr>
        <w:tabs>
          <w:tab w:val="left" w:pos="993"/>
        </w:tabs>
        <w:ind w:left="993" w:hanging="993"/>
        <w:rPr>
          <w:b/>
          <w:bCs/>
          <w:szCs w:val="20"/>
          <w:highlight w:val="none"/>
        </w:rPr>
      </w:pPr>
    </w:p>
    <w:p>
      <w:pPr>
        <w:pStyle w:val="4"/>
        <w:tabs>
          <w:tab w:val="left" w:pos="851"/>
        </w:tabs>
        <w:ind w:left="851" w:hanging="851"/>
        <w:rPr>
          <w:b/>
          <w:bCs/>
          <w:szCs w:val="20"/>
          <w:highlight w:val="none"/>
        </w:rPr>
      </w:pPr>
      <w:r>
        <w:rPr>
          <w:szCs w:val="20"/>
          <w:highlight w:val="none"/>
        </w:rPr>
        <w:t>Como garantia para a completa execução das obrigações contratuais e da liquidação das multas convencionais, fica estipulada uma "Garantia de Execução" no montante de 5% (cinco por cento) do valor do contrato, a ser previamente integralizada à assinatura do mesmo, em espécie, Seguro Garantia emitida por seguradora autorizada pela SUSEP ou Fiança Bancária, a critério da contratada.</w:t>
      </w:r>
    </w:p>
    <w:p>
      <w:pPr>
        <w:tabs>
          <w:tab w:val="left" w:pos="993"/>
        </w:tabs>
        <w:ind w:left="993"/>
        <w:rPr>
          <w:b/>
          <w:bCs/>
          <w:szCs w:val="20"/>
          <w:highlight w:val="none"/>
        </w:rPr>
      </w:pPr>
    </w:p>
    <w:p>
      <w:pPr>
        <w:pStyle w:val="4"/>
        <w:tabs>
          <w:tab w:val="left" w:pos="851"/>
        </w:tabs>
        <w:ind w:left="851" w:hanging="851"/>
        <w:rPr>
          <w:b/>
          <w:bCs/>
          <w:szCs w:val="20"/>
          <w:highlight w:val="none"/>
        </w:rPr>
      </w:pPr>
      <w:r>
        <w:rPr>
          <w:bCs/>
          <w:szCs w:val="20"/>
          <w:highlight w:val="none"/>
        </w:rPr>
        <w:t xml:space="preserve">A garantia a que se refere o subitem acima deverá ser entregue na </w:t>
      </w:r>
      <w:r>
        <w:rPr>
          <w:szCs w:val="20"/>
          <w:highlight w:val="none"/>
        </w:rPr>
        <w:t>Gerência Regional de Revitalização das Bacias Hidrográficasda Codevasf, até a data da assinatura do contrato.</w:t>
      </w:r>
    </w:p>
    <w:p>
      <w:pPr>
        <w:tabs>
          <w:tab w:val="left" w:pos="993"/>
        </w:tabs>
        <w:ind w:left="993" w:hanging="993"/>
        <w:rPr>
          <w:b/>
          <w:bCs/>
          <w:szCs w:val="20"/>
          <w:highlight w:val="none"/>
        </w:rPr>
      </w:pPr>
    </w:p>
    <w:p>
      <w:pPr>
        <w:pStyle w:val="4"/>
        <w:tabs>
          <w:tab w:val="left" w:pos="851"/>
        </w:tabs>
        <w:ind w:left="851" w:hanging="851"/>
        <w:rPr>
          <w:szCs w:val="20"/>
          <w:highlight w:val="none"/>
        </w:rPr>
      </w:pPr>
      <w:r>
        <w:rPr>
          <w:szCs w:val="20"/>
          <w:highlight w:val="none"/>
        </w:rPr>
        <w:t>A garantia na forma de Carta de Fiança Bancária ou seguro garantia deverá estar em vigor e com cobertura até o final do prazo previsto para assinatura do Termo de Encerramento Definitivo do Contrato, devendo manter</w:t>
      </w:r>
      <w:bookmarkStart w:id="35" w:name="_Hlk530641090"/>
      <w:r>
        <w:rPr>
          <w:szCs w:val="20"/>
          <w:highlight w:val="none"/>
        </w:rPr>
        <w:t xml:space="preserve"> atualizada a garantia até 90(noventa) dias após o recebimento provisório do objeto contratado.</w:t>
      </w:r>
    </w:p>
    <w:bookmarkEnd w:id="35"/>
    <w:p>
      <w:pPr>
        <w:tabs>
          <w:tab w:val="left" w:pos="993"/>
        </w:tabs>
        <w:ind w:left="993" w:hanging="993"/>
        <w:rPr>
          <w:b/>
          <w:bCs/>
          <w:szCs w:val="20"/>
          <w:highlight w:val="none"/>
        </w:rPr>
      </w:pPr>
    </w:p>
    <w:p>
      <w:pPr>
        <w:pStyle w:val="4"/>
        <w:tabs>
          <w:tab w:val="left" w:pos="851"/>
        </w:tabs>
        <w:ind w:left="851" w:hanging="851"/>
        <w:rPr>
          <w:b/>
          <w:bCs/>
          <w:szCs w:val="20"/>
          <w:highlight w:val="none"/>
        </w:rPr>
      </w:pPr>
      <w:r>
        <w:rPr>
          <w:szCs w:val="20"/>
          <w:highlight w:val="none"/>
        </w:rPr>
        <w:t>Após a assinatura do Termo de Encerramento Físico do contrato será devolvida a “Garantia de Execução”, uma vez verificada a perfeita execução do objeto contratual.</w:t>
      </w:r>
    </w:p>
    <w:p>
      <w:pPr>
        <w:tabs>
          <w:tab w:val="left" w:pos="993"/>
        </w:tabs>
        <w:ind w:left="993" w:hanging="993"/>
        <w:rPr>
          <w:b/>
          <w:bCs/>
          <w:szCs w:val="20"/>
          <w:highlight w:val="none"/>
        </w:rPr>
      </w:pPr>
    </w:p>
    <w:p>
      <w:pPr>
        <w:pStyle w:val="4"/>
        <w:tabs>
          <w:tab w:val="left" w:pos="851"/>
        </w:tabs>
        <w:ind w:left="851" w:hanging="851"/>
        <w:rPr>
          <w:b/>
          <w:bCs/>
          <w:szCs w:val="20"/>
          <w:highlight w:val="none"/>
        </w:rPr>
      </w:pPr>
      <w:r>
        <w:rPr>
          <w:szCs w:val="20"/>
          <w:highlight w:val="none"/>
        </w:rPr>
        <w:t xml:space="preserve">A garantia em espécie deverá ser depositada em instituição financeira oficial, credenciada pela </w:t>
      </w:r>
      <w:r>
        <w:rPr>
          <w:b/>
          <w:szCs w:val="20"/>
          <w:highlight w:val="none"/>
        </w:rPr>
        <w:t>Codevasf</w:t>
      </w:r>
      <w:r>
        <w:rPr>
          <w:szCs w:val="20"/>
          <w:highlight w:val="none"/>
        </w:rPr>
        <w:t xml:space="preserve">, em conta remunerada que poderá ser movimentada somente por ordem da </w:t>
      </w:r>
      <w:r>
        <w:rPr>
          <w:b/>
          <w:szCs w:val="20"/>
          <w:highlight w:val="none"/>
        </w:rPr>
        <w:t>Codevasf</w:t>
      </w:r>
      <w:r>
        <w:rPr>
          <w:szCs w:val="20"/>
          <w:highlight w:val="none"/>
        </w:rPr>
        <w:t>.</w:t>
      </w:r>
    </w:p>
    <w:p>
      <w:pPr>
        <w:tabs>
          <w:tab w:val="left" w:pos="993"/>
        </w:tabs>
        <w:ind w:left="993" w:hanging="993"/>
        <w:rPr>
          <w:b/>
          <w:bCs/>
          <w:szCs w:val="20"/>
          <w:highlight w:val="none"/>
        </w:rPr>
      </w:pPr>
    </w:p>
    <w:p>
      <w:pPr>
        <w:pStyle w:val="4"/>
        <w:tabs>
          <w:tab w:val="left" w:pos="851"/>
        </w:tabs>
        <w:ind w:left="851" w:hanging="851"/>
        <w:rPr>
          <w:b/>
          <w:bCs/>
          <w:szCs w:val="20"/>
          <w:highlight w:val="none"/>
        </w:rPr>
      </w:pPr>
      <w:r>
        <w:rPr>
          <w:szCs w:val="20"/>
          <w:highlight w:val="none"/>
        </w:rPr>
        <w:t>A não integralização da garantia representa inadimplência contratual, passível de aplicação de multas e de rescisão, na forma prevista nas cláusulas contratuais.</w:t>
      </w:r>
    </w:p>
    <w:p>
      <w:pPr>
        <w:tabs>
          <w:tab w:val="left" w:pos="993"/>
        </w:tabs>
        <w:ind w:left="993" w:hanging="993"/>
        <w:rPr>
          <w:b/>
          <w:bCs/>
          <w:szCs w:val="20"/>
          <w:highlight w:val="none"/>
        </w:rPr>
      </w:pPr>
    </w:p>
    <w:p>
      <w:pPr>
        <w:pStyle w:val="4"/>
        <w:tabs>
          <w:tab w:val="left" w:pos="851"/>
        </w:tabs>
        <w:ind w:left="851" w:hanging="851"/>
        <w:rPr>
          <w:bCs/>
          <w:szCs w:val="20"/>
          <w:highlight w:val="none"/>
        </w:rPr>
      </w:pPr>
      <w:r>
        <w:rPr>
          <w:szCs w:val="20"/>
          <w:highlight w:val="none"/>
        </w:rPr>
        <w:t>Por ocasião de eventuais aditamentos contratuais que promovam acréscimos ao valor contratado ou prorrogações de prazo contratual, a garantia prestada deverá ser reforçada e/ou renovada, de forma a manter a observância do disposto no caput desta cláusula, em compatibilidade com os novos valores e prazos pactuados.</w:t>
      </w:r>
    </w:p>
    <w:p>
      <w:pPr>
        <w:tabs>
          <w:tab w:val="left" w:pos="993"/>
        </w:tabs>
        <w:ind w:left="993" w:hanging="993"/>
        <w:rPr>
          <w:bCs/>
          <w:szCs w:val="20"/>
          <w:highlight w:val="none"/>
        </w:rPr>
      </w:pPr>
    </w:p>
    <w:p>
      <w:pPr>
        <w:pStyle w:val="4"/>
        <w:tabs>
          <w:tab w:val="left" w:pos="851"/>
        </w:tabs>
        <w:ind w:left="851" w:hanging="851"/>
        <w:rPr>
          <w:bCs/>
          <w:szCs w:val="20"/>
          <w:highlight w:val="none"/>
        </w:rPr>
      </w:pPr>
      <w:r>
        <w:rPr>
          <w:szCs w:val="20"/>
          <w:highlight w:val="none"/>
        </w:rPr>
        <w:t>Não haverá qualquer restituição de garantia em caso de dissolução contratual, na forma do disposto na cláusula de rescisão, hipótese em que a garantia reverterá e será apropriada pela Codevasf.</w:t>
      </w:r>
    </w:p>
    <w:p>
      <w:pPr>
        <w:tabs>
          <w:tab w:val="left" w:pos="993"/>
        </w:tabs>
        <w:ind w:left="993" w:hanging="993"/>
        <w:rPr>
          <w:bCs/>
          <w:szCs w:val="20"/>
          <w:highlight w:val="none"/>
        </w:rPr>
      </w:pPr>
    </w:p>
    <w:p>
      <w:pPr>
        <w:pStyle w:val="4"/>
        <w:tabs>
          <w:tab w:val="left" w:pos="851"/>
        </w:tabs>
        <w:ind w:left="851" w:hanging="851"/>
        <w:rPr>
          <w:szCs w:val="20"/>
          <w:highlight w:val="none"/>
        </w:rPr>
      </w:pPr>
      <w:r>
        <w:rPr>
          <w:szCs w:val="20"/>
          <w:highlight w:val="none"/>
        </w:rPr>
        <w:t>A garantia, qualquer que seja a modalidade escolhida, assegurará o pagamento de:</w:t>
      </w:r>
    </w:p>
    <w:p>
      <w:pPr>
        <w:ind w:left="1658" w:hanging="360"/>
        <w:rPr>
          <w:szCs w:val="20"/>
          <w:highlight w:val="none"/>
        </w:rPr>
      </w:pPr>
    </w:p>
    <w:p>
      <w:pPr>
        <w:numPr>
          <w:ilvl w:val="0"/>
          <w:numId w:val="24"/>
        </w:numPr>
        <w:rPr>
          <w:bCs/>
          <w:szCs w:val="20"/>
          <w:highlight w:val="none"/>
        </w:rPr>
      </w:pPr>
      <w:r>
        <w:rPr>
          <w:szCs w:val="20"/>
          <w:highlight w:val="none"/>
        </w:rPr>
        <w:t>Prejuízos advindos do não cumprimento do objeto do contrato;</w:t>
      </w:r>
    </w:p>
    <w:p>
      <w:pPr>
        <w:numPr>
          <w:ilvl w:val="0"/>
          <w:numId w:val="24"/>
        </w:numPr>
        <w:rPr>
          <w:bCs/>
          <w:szCs w:val="20"/>
          <w:highlight w:val="none"/>
        </w:rPr>
      </w:pPr>
      <w:r>
        <w:rPr>
          <w:szCs w:val="20"/>
          <w:highlight w:val="none"/>
        </w:rPr>
        <w:t>Prejuízos diretos causados à Administração decorrentes de culpa ou dolo durante a execução do contrato;</w:t>
      </w:r>
    </w:p>
    <w:p>
      <w:pPr>
        <w:numPr>
          <w:ilvl w:val="0"/>
          <w:numId w:val="24"/>
        </w:numPr>
        <w:rPr>
          <w:bCs/>
          <w:szCs w:val="20"/>
          <w:highlight w:val="none"/>
        </w:rPr>
      </w:pPr>
      <w:r>
        <w:rPr>
          <w:szCs w:val="20"/>
          <w:highlight w:val="none"/>
        </w:rPr>
        <w:t>Multas moratórias e punitivas aplicadas pela Administração à contratada; e</w:t>
      </w:r>
    </w:p>
    <w:p>
      <w:pPr>
        <w:numPr>
          <w:ilvl w:val="0"/>
          <w:numId w:val="24"/>
        </w:numPr>
        <w:rPr>
          <w:bCs/>
          <w:szCs w:val="20"/>
          <w:highlight w:val="none"/>
        </w:rPr>
      </w:pPr>
      <w:r>
        <w:rPr>
          <w:szCs w:val="20"/>
          <w:highlight w:val="none"/>
        </w:rPr>
        <w:t>Obrigações trabalhistas e previdenciárias de qualquer natureza, não adimplidas pela contratada, quando couber.</w:t>
      </w:r>
    </w:p>
    <w:p>
      <w:pPr>
        <w:tabs>
          <w:tab w:val="left" w:pos="851"/>
        </w:tabs>
        <w:ind w:left="851" w:hanging="851"/>
        <w:rPr>
          <w:szCs w:val="20"/>
          <w:highlight w:val="none"/>
        </w:rPr>
      </w:pPr>
    </w:p>
    <w:p>
      <w:pPr>
        <w:pStyle w:val="2"/>
        <w:tabs>
          <w:tab w:val="left" w:pos="851"/>
        </w:tabs>
        <w:ind w:left="851" w:hanging="851"/>
        <w:rPr>
          <w:szCs w:val="20"/>
          <w:highlight w:val="none"/>
        </w:rPr>
      </w:pPr>
      <w:bookmarkStart w:id="36" w:name="_Toc15626"/>
      <w:r>
        <w:rPr>
          <w:szCs w:val="20"/>
          <w:highlight w:val="none"/>
        </w:rPr>
        <w:t>FISCALIZAÇÃO</w:t>
      </w:r>
      <w:bookmarkEnd w:id="36"/>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A fiscalização dos serviços será feita por empregado formalmente designado, a quem compete verificar se a CONTRATADA está executando os trabalhos, observando o contrato e os documentos que o integram e competências definidas no Manual de Contrato.</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Fica assegurado aos técnicos da Codevasf o direito de, a seu exclusivo critério, acompanhar, fiscalizar e participar, total ou parcialmente, diretamente ou por meio de terceiros, da execução dos serviços prestados pela CONTRATADA, com livre acesso ao local de trabalho para obtenção de quaisquer esclarecimentos julgados necessários à execução dos serviços.</w:t>
      </w:r>
    </w:p>
    <w:p>
      <w:pPr>
        <w:tabs>
          <w:tab w:val="left" w:pos="851"/>
        </w:tabs>
        <w:ind w:left="851" w:hanging="851"/>
        <w:rPr>
          <w:strike/>
          <w:szCs w:val="20"/>
          <w:highlight w:val="none"/>
        </w:rPr>
      </w:pPr>
    </w:p>
    <w:p>
      <w:pPr>
        <w:pStyle w:val="4"/>
        <w:tabs>
          <w:tab w:val="left" w:pos="851"/>
        </w:tabs>
        <w:ind w:left="851" w:hanging="851"/>
        <w:rPr>
          <w:szCs w:val="20"/>
          <w:highlight w:val="none"/>
        </w:rPr>
      </w:pPr>
      <w:r>
        <w:rPr>
          <w:szCs w:val="20"/>
          <w:highlight w:val="none"/>
        </w:rPr>
        <w:t>Acompanhar a execução dos serviços objeto do contrato, “in loco”, como representante da Codevasf, de forma a garantir o cumprimento do que foi pactuado, observando para que não haja subcontratação de serviços vedados no instrumento assinado pelas partes.</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Esclarecer dúvidas ou fornecer informações solicitadas pelo preposto/representante da CONTRATADA ou, quando não estiverem sob sua alçada, encaminhá-las a quem compete.</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Checar se a CONTRATADA disponibilizou as instalações, equipamentos e recursos humanos previstos para a execução dos serviços.</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Acompanhar a elaboração do “as built” (como construído) ao longo da execução dos serviços.</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Tratar diretamente com a equipe de apoio à fiscalização contratada pela Codevasf, quando houver, exigindo atuação em conformidade com o instrumento do contrato, cobrando a presença de técnicos no local da prestação dos serviços, emissão de relatórios, boletins ou outros documentos que se façam necessários ao fiel cumprimento do objeto.</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Solicitar da CONTRATADA a relação de empregados contratados e terceirizados, com as seguintes informações: nome completo, cargo ou função, valor do salário, número do RG e do CPF.</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Informar ao Supervisor de Fiscalização, quando houver, ou ao titular da unidade orgânica demandante sobre o andamento dos serviços, por meio do Relatório de Acompanhamento Físico da obra – RAF.</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Efetuar os registros diários no Diário da Obra.</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Determinar a reparação, correção, remoção, reconstrução ou substituição, às expensas da</w:t>
      </w:r>
      <w:r>
        <w:rPr>
          <w:rFonts w:hint="default"/>
          <w:szCs w:val="20"/>
          <w:highlight w:val="none"/>
          <w:lang w:val="pt-BR"/>
        </w:rPr>
        <w:t xml:space="preserve"> </w:t>
      </w:r>
      <w:r>
        <w:rPr>
          <w:szCs w:val="20"/>
          <w:highlight w:val="none"/>
        </w:rPr>
        <w:t>CONTRATADA, no total ou em parte, dos serviços nos quais forem detectados vícios, defeitos ou incorreções resultantes da execução ou dos materiais empregados.</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Acompanhar o cumprimento, pela CONTRATADA, do cronograma físico-financeiro pactuado, encaminhando ao Supervisor de Fiscalização, quando houver, ou ao titular da unidade orgânica demandante, eventuais pedidos de modificações, substituições de materiais e equipamentos, solicitados pela CONTRATADA.</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Estabelecer prazo para correção de eventuais pendências na execução do contrato e informar ao Supervisor de Fiscalização, quando houver, ou ao titular da unidade orgânica demandante, ocorrências que possam gerar dificuldades à conclusão da obra ou em relação a terceiros, cientificando-a da possibilidade de não conclusão do objeto na data aprazada, com as devidas justificativas.</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Rejeitar, no todo ou em parte, obra, serviço ou fornecimento executado em desacordo com o instrumento contratual.</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Notificar a CONTRATADA sobre quaisquer ocorrências encontradas em desconformidade com as cláusulas contratuais, sempre por escrito, com prova de recebimento da notificação.</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Manter em arquivo organizado memória de cálculo dos quantitativos de serviços executados e os consequentes boletins de medição.</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Encaminhar à Contratada cópia da Licença Ambiental, se houver, caso contrário, cópia da legislação de dispensa do referido documento.</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Atestar as notas fiscais e encaminhá-las ao Supervisor de Fiscalização, quando houver, ou ao titular da unidade orgânica demandante, para providências quanto ao pagamento.</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Receber e encaminhar ao Supervisor de Fiscalização, quando houver, ou ao titular da unidade orgânica demandante, para providências, os pedidos de reajuste/repactuação e reequilíbrio econômico financeiro.</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Manter controle sobre o prazo de vigência do instrumento contratual sob sua responsabilidade e encaminhar processo ao Supervisor de Fiscalização, quando houver, ou ao titular da unidade orgânica demandante, no caso de solicitação de prorrogação do prazo de vigência contratual.</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Analisar e emitir nota técnica referente aos pedidos de prorrogação de prazos, de interrupções na execução do objeto, de serviços extraordinários, de modificações no projeto ou alterações relativas à qualidade, à segurança e outras, de modo a subsidiar a decisão final pela autoridade competente.</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Informar à unidade de finanças, mediante Termo de Encerramento Físico – TEF, quanto ao término da vigência do contrato, para providências no sentido de liberação da garantia contratual em favor da CONTRATADA.</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Receber as etapas de obra, serviços ou fornecimentos mediante medições precisas e de acordo com as regras contratuais.</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Informar ao Supervisor de Fiscalização, quando houver, ou ao titular da unidade orgânica demandante as ocorrências relacionadas à execução do contrato que ultrapassarem a sua competência de atuação, objetivando a regularização das faltas ou defeitos observados.</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Receber provisoriamente as aquisições, obras ou serviços sob sua responsabilidade, mediante recibo ou Termo Circunstanciado, enquanto não for designada comissão de recebimento ou outro empregado, para o recebimento definitivo.</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Acompanhar e cobrar da CONTRATADA a execução de planos ou programas ambientais, quando houver, bem como o cumprimento das condicionantes da licença ambiental, também quando houver, tomando providências para minimizar impactos de acidentes ambientais.</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Realizar vistorias na obra e verificar sua conformidade com as normas aplicáveis e com as orientações técnicas, indicações de segurança e uso de Equipamentos de Proteção Individual – EPI’s.</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Acompanhar a execução da obra, verificando a correta utilização quantitativa e qualitativa dos materiais e equipamentos empregados, com a finalidade de zelar pela manutenção da qualidade adequada.</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Cabe à Fiscalização verificar a ocorrência de fatos para os quais haja sido estipulada qualquer penalidade contratual. A Fiscalização informará ao setor competente quanto ao fato, instruindo o seu relatório com os documentos necessários, e em caso de multa, a indicação do seu valor.</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A ação e/ou omissão, total ou parcial, da Fiscalização não eximirá a CONTRATADA da integral responsabilidade pela execução do objeto deste contrato.</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A Fiscalização deverá verificar, periodicamente, no decorrer da execução do contrato, se a CONTRATADA mantém, em compatibilidade com as obrigações assumidas, todas as condições de habilitação e qualificação exigidas na licitação, comprovada mediante consulta ao SICAF, CADIN ou certidões comprobatórias.</w:t>
      </w:r>
    </w:p>
    <w:p>
      <w:pPr>
        <w:tabs>
          <w:tab w:val="left" w:pos="851"/>
        </w:tabs>
        <w:ind w:left="851" w:hanging="851"/>
        <w:rPr>
          <w:szCs w:val="20"/>
          <w:highlight w:val="none"/>
        </w:rPr>
      </w:pPr>
    </w:p>
    <w:p>
      <w:pPr>
        <w:rPr>
          <w:szCs w:val="20"/>
          <w:highlight w:val="none"/>
        </w:rPr>
      </w:pPr>
    </w:p>
    <w:p>
      <w:pPr>
        <w:pStyle w:val="2"/>
        <w:ind w:left="851" w:hanging="851"/>
        <w:rPr>
          <w:szCs w:val="20"/>
          <w:highlight w:val="none"/>
        </w:rPr>
      </w:pPr>
      <w:bookmarkStart w:id="37" w:name="_Toc31598"/>
      <w:r>
        <w:rPr>
          <w:szCs w:val="20"/>
          <w:highlight w:val="none"/>
        </w:rPr>
        <w:t>RECEBIMENTO DEFINITIVO DOS SERVIÇOS</w:t>
      </w:r>
      <w:bookmarkEnd w:id="37"/>
    </w:p>
    <w:p>
      <w:pPr>
        <w:ind w:left="851" w:hanging="851"/>
        <w:rPr>
          <w:szCs w:val="20"/>
          <w:highlight w:val="none"/>
        </w:rPr>
      </w:pPr>
    </w:p>
    <w:p>
      <w:pPr>
        <w:pStyle w:val="4"/>
        <w:ind w:left="851" w:hanging="851"/>
        <w:rPr>
          <w:szCs w:val="20"/>
          <w:highlight w:val="none"/>
        </w:rPr>
      </w:pPr>
      <w:r>
        <w:rPr>
          <w:szCs w:val="20"/>
          <w:highlight w:val="none"/>
        </w:rPr>
        <w:t>Após o término dos serviços objeto deste TR, a CONTRATADA requererá à Codevasf, através da Fiscalização, o seu recebimento provisório, que deverá ocorrer no prazo de 15 (quinze) dias da data da solicitação dos mesmos.</w:t>
      </w:r>
    </w:p>
    <w:p>
      <w:pPr>
        <w:ind w:left="851" w:hanging="851"/>
        <w:rPr>
          <w:szCs w:val="20"/>
          <w:highlight w:val="none"/>
        </w:rPr>
      </w:pPr>
    </w:p>
    <w:p>
      <w:pPr>
        <w:pStyle w:val="4"/>
        <w:ind w:left="851" w:hanging="851"/>
        <w:rPr>
          <w:szCs w:val="20"/>
          <w:highlight w:val="none"/>
        </w:rPr>
      </w:pPr>
      <w:r>
        <w:rPr>
          <w:szCs w:val="20"/>
          <w:highlight w:val="none"/>
        </w:rPr>
        <w:t>O recebimento do objeto, após a sua conclusão, obedecerá ao disposto no descrito abaixo:</w:t>
      </w:r>
    </w:p>
    <w:p>
      <w:pPr>
        <w:ind w:left="851" w:hanging="851"/>
        <w:rPr>
          <w:szCs w:val="20"/>
          <w:highlight w:val="none"/>
          <w:lang w:eastAsia="pt-BR"/>
        </w:rPr>
      </w:pPr>
    </w:p>
    <w:p>
      <w:pPr>
        <w:pStyle w:val="3"/>
        <w:numPr>
          <w:ilvl w:val="0"/>
          <w:numId w:val="25"/>
        </w:numPr>
        <w:ind w:left="1276" w:hanging="425"/>
        <w:rPr>
          <w:szCs w:val="20"/>
          <w:highlight w:val="none"/>
        </w:rPr>
      </w:pPr>
      <w:r>
        <w:rPr>
          <w:szCs w:val="20"/>
          <w:highlight w:val="none"/>
        </w:rPr>
        <w:t>Provisoriamente, pelo responsável por seu acompanhamento e fiscalização, mediante termo circunstanciado, assinado pelas partes em até 15 (quinze) dias da comunicação escrita do contratado;</w:t>
      </w:r>
    </w:p>
    <w:p>
      <w:pPr>
        <w:rPr>
          <w:szCs w:val="20"/>
          <w:highlight w:val="none"/>
        </w:rPr>
      </w:pPr>
    </w:p>
    <w:p>
      <w:pPr>
        <w:pStyle w:val="3"/>
        <w:ind w:left="1276" w:hanging="425"/>
        <w:rPr>
          <w:szCs w:val="20"/>
          <w:highlight w:val="none"/>
        </w:rPr>
      </w:pPr>
      <w:r>
        <w:rPr>
          <w:szCs w:val="20"/>
          <w:highlight w:val="none"/>
        </w:rPr>
        <w:t>Definitivamente, por servidor ou comissão designada pela autoridade competente, mediante termo circunstanciado, assinado pelas partes, após o decurso do prazo de observação, ou vistoria que comprove a adequação do objeto aos termos contratuais.</w:t>
      </w:r>
    </w:p>
    <w:p>
      <w:pPr>
        <w:ind w:left="1276" w:hanging="425"/>
        <w:rPr>
          <w:szCs w:val="20"/>
          <w:highlight w:val="none"/>
        </w:rPr>
      </w:pPr>
    </w:p>
    <w:p>
      <w:pPr>
        <w:ind w:left="1276"/>
        <w:contextualSpacing/>
        <w:rPr>
          <w:szCs w:val="20"/>
          <w:highlight w:val="none"/>
          <w:shd w:val="clear" w:color="auto" w:fill="FFFFFF"/>
        </w:rPr>
      </w:pPr>
      <w:r>
        <w:rPr>
          <w:szCs w:val="20"/>
          <w:highlight w:val="none"/>
        </w:rPr>
        <w:t xml:space="preserve">b1) </w:t>
      </w:r>
      <w:r>
        <w:rPr>
          <w:szCs w:val="20"/>
          <w:highlight w:val="none"/>
          <w:shd w:val="clear" w:color="auto" w:fill="FFFFFF"/>
        </w:rPr>
        <w:t>O contratado é obrigado a reparar, corrigir, remover, reconstruir ou substituir, às suas expensas, no total ou em parte, o objeto do contrato em que se verificarem vícios, defeitos ou incorreções resultantes da execução ou de materiais empregados.</w:t>
      </w:r>
    </w:p>
    <w:p>
      <w:pPr>
        <w:ind w:left="1276" w:hanging="425"/>
        <w:rPr>
          <w:szCs w:val="20"/>
          <w:highlight w:val="none"/>
          <w:shd w:val="clear" w:color="auto" w:fill="FFFFFF"/>
        </w:rPr>
      </w:pPr>
    </w:p>
    <w:p>
      <w:pPr>
        <w:pStyle w:val="5"/>
        <w:ind w:left="784" w:hanging="784" w:hangingChars="392"/>
        <w:rPr>
          <w:highlight w:val="none"/>
        </w:rPr>
      </w:pPr>
      <w:r>
        <w:rPr>
          <w:highlight w:val="none"/>
        </w:rPr>
        <w:t>O recebimento provisório ou definitivo não exclui a responsabilidade civil pela solidez e segurança da obra ou do serviço, nem ético-profissional pela perfeita execução do contrato, dentro dos limites estabelecidos neste Edital.</w:t>
      </w:r>
    </w:p>
    <w:p>
      <w:pPr>
        <w:tabs>
          <w:tab w:val="left" w:pos="851"/>
        </w:tabs>
        <w:ind w:left="784" w:hanging="784" w:hangingChars="392"/>
        <w:rPr>
          <w:szCs w:val="20"/>
          <w:highlight w:val="none"/>
        </w:rPr>
      </w:pPr>
    </w:p>
    <w:p>
      <w:pPr>
        <w:pStyle w:val="5"/>
        <w:ind w:left="784" w:hanging="784" w:hangingChars="392"/>
        <w:rPr>
          <w:highlight w:val="none"/>
        </w:rPr>
      </w:pPr>
      <w:r>
        <w:rPr>
          <w:highlight w:val="none"/>
        </w:rPr>
        <w:t>Na hipótese de o termo circunstanciado ou a verificação a que se refere este item não serem, respectivamente, lavrado ou procedida dentro dos prazos fixados, reputar-se-ão como realizados, desde que comunicados à Administração nos 15 (quinze)dias anteriores à exaustão dos mesmos.</w:t>
      </w:r>
    </w:p>
    <w:p>
      <w:pPr>
        <w:tabs>
          <w:tab w:val="left" w:pos="851"/>
        </w:tabs>
        <w:ind w:left="784" w:hanging="784" w:hangingChars="392"/>
        <w:rPr>
          <w:szCs w:val="20"/>
          <w:highlight w:val="none"/>
        </w:rPr>
      </w:pPr>
    </w:p>
    <w:p>
      <w:pPr>
        <w:pStyle w:val="5"/>
        <w:ind w:left="784" w:hanging="784" w:hangingChars="392"/>
        <w:rPr>
          <w:highlight w:val="none"/>
        </w:rPr>
      </w:pPr>
      <w:bookmarkStart w:id="38" w:name="art75"/>
      <w:bookmarkEnd w:id="38"/>
      <w:bookmarkStart w:id="39" w:name="art74"/>
      <w:bookmarkEnd w:id="39"/>
      <w:r>
        <w:rPr>
          <w:highlight w:val="none"/>
        </w:rPr>
        <w:t>Os ensaios, testes e demais provas exigidos por normas técnicas oficiais para a boa execução do objeto do contrato correm por conta do contratado.</w:t>
      </w:r>
    </w:p>
    <w:p>
      <w:pPr>
        <w:tabs>
          <w:tab w:val="left" w:pos="851"/>
        </w:tabs>
        <w:ind w:left="784" w:hanging="784" w:hangingChars="392"/>
        <w:rPr>
          <w:szCs w:val="20"/>
          <w:highlight w:val="none"/>
        </w:rPr>
      </w:pPr>
    </w:p>
    <w:p>
      <w:pPr>
        <w:pStyle w:val="5"/>
        <w:ind w:left="784" w:hanging="784" w:hangingChars="392"/>
        <w:rPr>
          <w:highlight w:val="none"/>
        </w:rPr>
      </w:pPr>
      <w:bookmarkStart w:id="40" w:name="art76"/>
      <w:bookmarkEnd w:id="40"/>
      <w:r>
        <w:rPr>
          <w:highlight w:val="none"/>
        </w:rPr>
        <w:t>A Codevasf rejeitará, no todo ou em parte, obra, serviço ou fornecimento executado em desacordo com o contrato.</w:t>
      </w:r>
    </w:p>
    <w:p>
      <w:pPr>
        <w:pStyle w:val="4"/>
        <w:numPr>
          <w:ilvl w:val="0"/>
          <w:numId w:val="0"/>
        </w:num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A Codevasf, por meio da fiscalização, terá 90 dias para verificar a adequação dos serviços recebidos com as condições contratadas, vistoriar os equipamentos disponibilizados e emitir parecer conclusivo sobre o empreendimento.</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Na hipótese da necessidade de correção, será estabelecido um prazo para que a CONTRATADA, às suas expensas, complemente, refaça ou substitua os serviços rejeitados.</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A CONTRATADA entende e aceita que o pleno cumprimento do estipulado neste item é condicionante para:</w:t>
      </w:r>
    </w:p>
    <w:p>
      <w:pPr>
        <w:rPr>
          <w:szCs w:val="20"/>
          <w:highlight w:val="none"/>
        </w:rPr>
      </w:pPr>
    </w:p>
    <w:p>
      <w:pPr>
        <w:pStyle w:val="3"/>
        <w:numPr>
          <w:ilvl w:val="0"/>
          <w:numId w:val="26"/>
        </w:numPr>
        <w:ind w:left="681" w:firstLine="170"/>
        <w:rPr>
          <w:szCs w:val="20"/>
          <w:highlight w:val="none"/>
        </w:rPr>
      </w:pPr>
      <w:r>
        <w:rPr>
          <w:szCs w:val="20"/>
          <w:highlight w:val="none"/>
        </w:rPr>
        <w:t xml:space="preserve">Emissão, pela Codevasf, do Atestado de </w:t>
      </w:r>
      <w:bookmarkStart w:id="83" w:name="_GoBack"/>
      <w:r>
        <w:rPr>
          <w:szCs w:val="20"/>
          <w:highlight w:val="none"/>
        </w:rPr>
        <w:t>Exec</w:t>
      </w:r>
      <w:bookmarkEnd w:id="83"/>
      <w:r>
        <w:rPr>
          <w:szCs w:val="20"/>
          <w:highlight w:val="none"/>
        </w:rPr>
        <w:t>ução dos serviços;</w:t>
      </w:r>
    </w:p>
    <w:p>
      <w:pPr>
        <w:pStyle w:val="3"/>
        <w:numPr>
          <w:ilvl w:val="0"/>
          <w:numId w:val="26"/>
        </w:numPr>
        <w:ind w:left="681" w:firstLine="170"/>
        <w:rPr>
          <w:szCs w:val="20"/>
          <w:highlight w:val="none"/>
        </w:rPr>
      </w:pPr>
      <w:r>
        <w:rPr>
          <w:szCs w:val="20"/>
          <w:highlight w:val="none"/>
        </w:rPr>
        <w:t>Emissão do Termo de Encerramento Físico (TEF); e</w:t>
      </w:r>
    </w:p>
    <w:p>
      <w:pPr>
        <w:pStyle w:val="3"/>
        <w:numPr>
          <w:ilvl w:val="0"/>
          <w:numId w:val="26"/>
        </w:numPr>
        <w:ind w:left="681" w:firstLine="170"/>
        <w:rPr>
          <w:szCs w:val="20"/>
          <w:highlight w:val="none"/>
        </w:rPr>
      </w:pPr>
      <w:r>
        <w:rPr>
          <w:szCs w:val="20"/>
          <w:highlight w:val="none"/>
        </w:rPr>
        <w:t>Liberação da Caução Contratual.</w:t>
      </w:r>
    </w:p>
    <w:p>
      <w:pPr>
        <w:rPr>
          <w:szCs w:val="20"/>
          <w:highlight w:val="none"/>
        </w:rPr>
      </w:pPr>
    </w:p>
    <w:p>
      <w:pPr>
        <w:pStyle w:val="4"/>
        <w:tabs>
          <w:tab w:val="left" w:pos="851"/>
        </w:tabs>
        <w:ind w:left="851" w:hanging="851"/>
        <w:rPr>
          <w:szCs w:val="20"/>
          <w:highlight w:val="none"/>
        </w:rPr>
      </w:pPr>
      <w:r>
        <w:rPr>
          <w:szCs w:val="20"/>
          <w:highlight w:val="none"/>
        </w:rPr>
        <w:t>Aceitos e aprovados os serviços, a Codevasf emitirá o Termo de Encerramento Físico (TEF), que deverá ser assinado por representante autorizado da CONTRATADA, possibilitando a liberação da prestação de garantia.</w:t>
      </w:r>
    </w:p>
    <w:p>
      <w:pPr>
        <w:pStyle w:val="4"/>
        <w:numPr>
          <w:ilvl w:val="0"/>
          <w:numId w:val="0"/>
        </w:num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O Termo de Encerramento Físico de Contrato (TEF) está condicionado à emissão de Laudo Técnico pela Codevasf (Relatório sobre todos os serviços executados).</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A última fatura de serviços somente será encaminhada para pagamento após a emissão do Termo de Encerramento Físico de Contrato (TEF), que deverá ser anexado ao processo de liberação e pagamento.</w:t>
      </w:r>
    </w:p>
    <w:p>
      <w:pPr>
        <w:rPr>
          <w:szCs w:val="20"/>
          <w:highlight w:val="none"/>
        </w:rPr>
      </w:pPr>
    </w:p>
    <w:p>
      <w:pPr>
        <w:rPr>
          <w:szCs w:val="20"/>
          <w:highlight w:val="none"/>
        </w:rPr>
      </w:pPr>
    </w:p>
    <w:p>
      <w:pPr>
        <w:pStyle w:val="2"/>
        <w:ind w:left="851" w:hanging="851"/>
        <w:rPr>
          <w:szCs w:val="20"/>
          <w:highlight w:val="none"/>
        </w:rPr>
      </w:pPr>
      <w:bookmarkStart w:id="41" w:name="_Toc32272"/>
      <w:r>
        <w:rPr>
          <w:szCs w:val="20"/>
          <w:highlight w:val="none"/>
        </w:rPr>
        <w:t>SEGURANÇA E MEDICINA DO TRABALHO</w:t>
      </w:r>
      <w:bookmarkEnd w:id="41"/>
    </w:p>
    <w:p>
      <w:pPr>
        <w:ind w:left="851" w:hanging="851"/>
        <w:rPr>
          <w:szCs w:val="20"/>
          <w:highlight w:val="none"/>
        </w:rPr>
      </w:pPr>
    </w:p>
    <w:p>
      <w:pPr>
        <w:pStyle w:val="4"/>
        <w:ind w:left="851" w:hanging="851"/>
        <w:rPr>
          <w:szCs w:val="20"/>
          <w:highlight w:val="none"/>
        </w:rPr>
      </w:pPr>
      <w:r>
        <w:rPr>
          <w:szCs w:val="20"/>
          <w:highlight w:val="none"/>
        </w:rPr>
        <w:t>A CONTRATADA deverá atender à legislação pertinente à proteção da integridade física e da saúde dos trabalhadores durante a realização dos serviços, conforme dispõe a Lei nº 6.514 de 22/12/1977, que altera a CLT, Portaria nº 3.214 do Ministério do Estado do Trabalho, de 08/06/1978, do ISSO e deverá:</w:t>
      </w:r>
    </w:p>
    <w:p>
      <w:pPr>
        <w:rPr>
          <w:szCs w:val="20"/>
          <w:highlight w:val="none"/>
        </w:rPr>
      </w:pPr>
    </w:p>
    <w:p>
      <w:pPr>
        <w:pStyle w:val="3"/>
        <w:numPr>
          <w:ilvl w:val="0"/>
          <w:numId w:val="27"/>
        </w:numPr>
        <w:ind w:left="1418" w:hanging="567"/>
        <w:rPr>
          <w:szCs w:val="20"/>
          <w:highlight w:val="none"/>
        </w:rPr>
      </w:pPr>
      <w:r>
        <w:rPr>
          <w:szCs w:val="20"/>
          <w:highlight w:val="none"/>
        </w:rPr>
        <w:t>Cumprir e fazer cumprir as Normas Regulamentadoras de Segurança e Medicina do Trabalho – NRs, pertinentes à natureza dos serviços a serem desenvolvidos;</w:t>
      </w:r>
    </w:p>
    <w:p>
      <w:pPr>
        <w:pStyle w:val="3"/>
        <w:numPr>
          <w:ilvl w:val="0"/>
          <w:numId w:val="27"/>
        </w:numPr>
        <w:ind w:left="1418" w:hanging="567"/>
        <w:rPr>
          <w:szCs w:val="20"/>
          <w:highlight w:val="none"/>
        </w:rPr>
      </w:pPr>
      <w:r>
        <w:rPr>
          <w:szCs w:val="20"/>
          <w:highlight w:val="none"/>
        </w:rPr>
        <w:t>Elaborar o PCMSO, além do P</w:t>
      </w:r>
      <w:r>
        <w:rPr>
          <w:rFonts w:hint="default"/>
          <w:szCs w:val="20"/>
          <w:highlight w:val="none"/>
          <w:lang w:val="pt-BR"/>
        </w:rPr>
        <w:t>GR</w:t>
      </w:r>
      <w:r>
        <w:rPr>
          <w:szCs w:val="20"/>
          <w:highlight w:val="none"/>
        </w:rPr>
        <w:t xml:space="preserve"> nos casos previstos na NR-18;</w:t>
      </w:r>
    </w:p>
    <w:p>
      <w:pPr>
        <w:pStyle w:val="3"/>
        <w:numPr>
          <w:ilvl w:val="0"/>
          <w:numId w:val="27"/>
        </w:numPr>
        <w:ind w:left="1418" w:hanging="567"/>
        <w:rPr>
          <w:szCs w:val="20"/>
          <w:highlight w:val="none"/>
        </w:rPr>
      </w:pPr>
      <w:r>
        <w:rPr>
          <w:szCs w:val="20"/>
          <w:highlight w:val="none"/>
        </w:rPr>
        <w:t>Manter nos Eixos, o SESMT conforme dimensionamento disposto no Quadro II da NR-4.</w:t>
      </w:r>
    </w:p>
    <w:p>
      <w:pPr>
        <w:rPr>
          <w:szCs w:val="20"/>
          <w:highlight w:val="none"/>
        </w:rPr>
      </w:pPr>
    </w:p>
    <w:p>
      <w:pPr>
        <w:rPr>
          <w:szCs w:val="20"/>
          <w:highlight w:val="none"/>
        </w:rPr>
      </w:pPr>
    </w:p>
    <w:p>
      <w:pPr>
        <w:pStyle w:val="2"/>
        <w:ind w:left="851" w:hanging="851"/>
        <w:rPr>
          <w:szCs w:val="20"/>
          <w:highlight w:val="none"/>
        </w:rPr>
      </w:pPr>
      <w:bookmarkStart w:id="42" w:name="_Toc17196"/>
      <w:r>
        <w:rPr>
          <w:szCs w:val="20"/>
          <w:highlight w:val="none"/>
        </w:rPr>
        <w:t>CRITÉRIOS DE SUSTENTABILIDADE AMBIENTAL</w:t>
      </w:r>
      <w:bookmarkEnd w:id="42"/>
    </w:p>
    <w:p>
      <w:pPr>
        <w:ind w:left="851" w:hanging="851"/>
        <w:rPr>
          <w:szCs w:val="20"/>
          <w:highlight w:val="none"/>
        </w:rPr>
      </w:pPr>
    </w:p>
    <w:p>
      <w:pPr>
        <w:pStyle w:val="4"/>
        <w:ind w:left="851" w:hanging="851"/>
        <w:rPr>
          <w:szCs w:val="20"/>
          <w:highlight w:val="none"/>
        </w:rPr>
      </w:pPr>
      <w:r>
        <w:rPr>
          <w:szCs w:val="20"/>
          <w:highlight w:val="none"/>
        </w:rPr>
        <w:t>A Contratada deverá executar a obra em conformidade com a respectiva Licença Ambiental.</w:t>
      </w:r>
    </w:p>
    <w:p>
      <w:pPr>
        <w:ind w:left="851" w:hanging="851"/>
        <w:rPr>
          <w:szCs w:val="20"/>
          <w:highlight w:val="none"/>
        </w:rPr>
      </w:pPr>
    </w:p>
    <w:p>
      <w:pPr>
        <w:pStyle w:val="4"/>
        <w:ind w:left="851" w:hanging="851"/>
        <w:rPr>
          <w:szCs w:val="20"/>
          <w:highlight w:val="none"/>
        </w:rPr>
      </w:pPr>
      <w:r>
        <w:rPr>
          <w:szCs w:val="20"/>
          <w:highlight w:val="none"/>
        </w:rPr>
        <w:t>A Codevasf deverá atentar-se aos critérios e práticas estabelecidos pelo Decreto nº 7.746, de 05/06/2012</w:t>
      </w:r>
      <w:r>
        <w:rPr>
          <w:rFonts w:hint="default"/>
          <w:szCs w:val="20"/>
          <w:highlight w:val="none"/>
          <w:lang w:val="pt-BR"/>
        </w:rPr>
        <w:t>,</w:t>
      </w:r>
      <w:r>
        <w:rPr>
          <w:szCs w:val="20"/>
          <w:highlight w:val="none"/>
        </w:rPr>
        <w:t xml:space="preserve"> para a promoção do desenvolvimento nacional sustentável nas contratações realizadas pela administração pública federal direta, autárquica e fundacional e pelas empresas estatais dependentes.</w:t>
      </w:r>
    </w:p>
    <w:p>
      <w:pPr>
        <w:ind w:left="851" w:hanging="851"/>
        <w:rPr>
          <w:szCs w:val="20"/>
          <w:highlight w:val="none"/>
        </w:rPr>
      </w:pPr>
    </w:p>
    <w:p>
      <w:pPr>
        <w:pStyle w:val="4"/>
        <w:ind w:left="851" w:hanging="851"/>
        <w:rPr>
          <w:szCs w:val="20"/>
          <w:highlight w:val="none"/>
        </w:rPr>
      </w:pPr>
      <w:r>
        <w:rPr>
          <w:szCs w:val="20"/>
          <w:highlight w:val="none"/>
        </w:rPr>
        <w:t>O Decreto nº 7.746/2012, em seu art. 2º, estabelece que na aquisição de bens e na contratação de serviços e obras, a administração pública federal direta, autárquica e fundacional e as empresas estatais dependentes adotarão critérios e práticas sustentáveis nos instrumentos e, em seu art. 4º, considera como critérios e práticas sustentáveis, entre outras:</w:t>
      </w:r>
    </w:p>
    <w:p>
      <w:pPr>
        <w:rPr>
          <w:szCs w:val="20"/>
          <w:highlight w:val="none"/>
        </w:rPr>
      </w:pPr>
    </w:p>
    <w:p>
      <w:pPr>
        <w:pStyle w:val="3"/>
        <w:numPr>
          <w:ilvl w:val="0"/>
          <w:numId w:val="28"/>
        </w:numPr>
        <w:tabs>
          <w:tab w:val="left" w:pos="1418"/>
        </w:tabs>
        <w:ind w:left="1418" w:hanging="567"/>
        <w:rPr>
          <w:szCs w:val="20"/>
          <w:highlight w:val="none"/>
        </w:rPr>
      </w:pPr>
      <w:r>
        <w:rPr>
          <w:szCs w:val="20"/>
          <w:highlight w:val="none"/>
        </w:rPr>
        <w:t>baixo impacto sobre recursos naturais como flora, fauna, ar, solo e água;</w:t>
      </w:r>
    </w:p>
    <w:p>
      <w:pPr>
        <w:pStyle w:val="3"/>
        <w:numPr>
          <w:ilvl w:val="0"/>
          <w:numId w:val="28"/>
        </w:numPr>
        <w:tabs>
          <w:tab w:val="left" w:pos="1418"/>
        </w:tabs>
        <w:ind w:left="1418" w:hanging="567"/>
        <w:rPr>
          <w:szCs w:val="20"/>
          <w:highlight w:val="none"/>
        </w:rPr>
      </w:pPr>
      <w:r>
        <w:rPr>
          <w:szCs w:val="20"/>
          <w:highlight w:val="none"/>
        </w:rPr>
        <w:t>preferência para materiais, tecnologias e matérias-primas de origem local;</w:t>
      </w:r>
    </w:p>
    <w:p>
      <w:pPr>
        <w:pStyle w:val="3"/>
        <w:numPr>
          <w:ilvl w:val="0"/>
          <w:numId w:val="28"/>
        </w:numPr>
        <w:tabs>
          <w:tab w:val="left" w:pos="1418"/>
        </w:tabs>
        <w:ind w:left="1418" w:hanging="567"/>
        <w:rPr>
          <w:szCs w:val="20"/>
          <w:highlight w:val="none"/>
        </w:rPr>
      </w:pPr>
      <w:r>
        <w:rPr>
          <w:szCs w:val="20"/>
          <w:highlight w:val="none"/>
        </w:rPr>
        <w:t>maior eficiência na utilização de recursos naturais como água e energia;</w:t>
      </w:r>
    </w:p>
    <w:p>
      <w:pPr>
        <w:pStyle w:val="3"/>
        <w:numPr>
          <w:ilvl w:val="0"/>
          <w:numId w:val="28"/>
        </w:numPr>
        <w:tabs>
          <w:tab w:val="left" w:pos="1418"/>
        </w:tabs>
        <w:ind w:left="1418" w:hanging="567"/>
        <w:rPr>
          <w:szCs w:val="20"/>
          <w:highlight w:val="none"/>
        </w:rPr>
      </w:pPr>
      <w:r>
        <w:rPr>
          <w:szCs w:val="20"/>
          <w:highlight w:val="none"/>
        </w:rPr>
        <w:t>maior geração de empregos, preferencialmente com mão de obra local;</w:t>
      </w:r>
    </w:p>
    <w:p>
      <w:pPr>
        <w:pStyle w:val="3"/>
        <w:numPr>
          <w:ilvl w:val="0"/>
          <w:numId w:val="28"/>
        </w:numPr>
        <w:tabs>
          <w:tab w:val="left" w:pos="1418"/>
        </w:tabs>
        <w:ind w:left="1418" w:hanging="567"/>
        <w:rPr>
          <w:szCs w:val="20"/>
          <w:highlight w:val="none"/>
        </w:rPr>
      </w:pPr>
      <w:r>
        <w:rPr>
          <w:szCs w:val="20"/>
          <w:highlight w:val="none"/>
        </w:rPr>
        <w:t>maior vida útil e menor custo de manutenção do bem e da obra;</w:t>
      </w:r>
    </w:p>
    <w:p>
      <w:pPr>
        <w:pStyle w:val="3"/>
        <w:numPr>
          <w:ilvl w:val="0"/>
          <w:numId w:val="28"/>
        </w:numPr>
        <w:tabs>
          <w:tab w:val="left" w:pos="1418"/>
        </w:tabs>
        <w:ind w:left="1418" w:hanging="567"/>
        <w:rPr>
          <w:szCs w:val="20"/>
          <w:highlight w:val="none"/>
        </w:rPr>
      </w:pPr>
      <w:r>
        <w:rPr>
          <w:szCs w:val="20"/>
          <w:highlight w:val="none"/>
        </w:rPr>
        <w:t>uso de inovações que reduzam a pressão sobre recursos naturais;</w:t>
      </w:r>
    </w:p>
    <w:p>
      <w:pPr>
        <w:pStyle w:val="3"/>
        <w:numPr>
          <w:ilvl w:val="0"/>
          <w:numId w:val="28"/>
        </w:numPr>
        <w:tabs>
          <w:tab w:val="left" w:pos="1418"/>
        </w:tabs>
        <w:ind w:left="1418" w:hanging="567"/>
        <w:rPr>
          <w:szCs w:val="20"/>
          <w:highlight w:val="none"/>
        </w:rPr>
      </w:pPr>
      <w:r>
        <w:rPr>
          <w:szCs w:val="20"/>
          <w:highlight w:val="none"/>
        </w:rPr>
        <w:t>origem sustentável dos recursos naturais utilizados nos bens, nos serviços e nas obras; e</w:t>
      </w:r>
    </w:p>
    <w:p>
      <w:pPr>
        <w:pStyle w:val="3"/>
        <w:numPr>
          <w:ilvl w:val="0"/>
          <w:numId w:val="28"/>
        </w:numPr>
        <w:tabs>
          <w:tab w:val="left" w:pos="1418"/>
        </w:tabs>
        <w:ind w:left="1418" w:hanging="567"/>
        <w:rPr>
          <w:szCs w:val="20"/>
          <w:highlight w:val="none"/>
        </w:rPr>
      </w:pPr>
      <w:r>
        <w:rPr>
          <w:szCs w:val="20"/>
          <w:highlight w:val="none"/>
        </w:rPr>
        <w:t>utilização de produtos florestais madeireiros e não madeireiros originários de manejo florestal sustentável ou de reflorestamento.</w:t>
      </w:r>
    </w:p>
    <w:p>
      <w:pPr>
        <w:rPr>
          <w:color w:val="0070C0"/>
          <w:szCs w:val="20"/>
          <w:highlight w:val="none"/>
        </w:rPr>
      </w:pPr>
    </w:p>
    <w:p>
      <w:pPr>
        <w:pStyle w:val="4"/>
        <w:ind w:left="851" w:hanging="851"/>
        <w:rPr>
          <w:szCs w:val="20"/>
          <w:highlight w:val="none"/>
        </w:rPr>
      </w:pPr>
      <w:r>
        <w:rPr>
          <w:szCs w:val="20"/>
          <w:highlight w:val="none"/>
        </w:rPr>
        <w:t>Na execução da obra e serviços será exigido o pleno atendimento da Instrução Normativa SLTI/MP nº 01/2010, onde a CONTRATADA deverá adotar as seguintes providências:</w:t>
      </w:r>
    </w:p>
    <w:p>
      <w:pPr>
        <w:rPr>
          <w:szCs w:val="20"/>
          <w:highlight w:val="none"/>
        </w:rPr>
      </w:pPr>
    </w:p>
    <w:p>
      <w:pPr>
        <w:pStyle w:val="3"/>
        <w:numPr>
          <w:ilvl w:val="0"/>
          <w:numId w:val="29"/>
        </w:numPr>
        <w:ind w:left="1418" w:hanging="567"/>
        <w:rPr>
          <w:szCs w:val="20"/>
          <w:highlight w:val="none"/>
        </w:rPr>
      </w:pPr>
      <w:r>
        <w:rPr>
          <w:szCs w:val="20"/>
          <w:highlight w:val="none"/>
        </w:rPr>
        <w:t>Deverá ser priorizado o emprego de mão-de-obra, materiais, tecnologias e matérias-primas de origem local para execução, conservação e operação das obras públicas.</w:t>
      </w:r>
    </w:p>
    <w:p>
      <w:pPr>
        <w:pStyle w:val="3"/>
        <w:numPr>
          <w:ilvl w:val="0"/>
          <w:numId w:val="29"/>
        </w:numPr>
        <w:ind w:left="1418" w:hanging="567"/>
        <w:rPr>
          <w:szCs w:val="20"/>
          <w:highlight w:val="none"/>
        </w:rPr>
      </w:pPr>
      <w:r>
        <w:rPr>
          <w:szCs w:val="20"/>
          <w:highlight w:val="none"/>
        </w:rPr>
        <w:t>Deverá fazer o uso obrigatório de agregados reciclados nas obras contratadas, sempre que existir a oferta de agregados reciclados, capacidade de suprimento e custo inferior em relação aos agregados naturais.</w:t>
      </w:r>
    </w:p>
    <w:p>
      <w:pPr>
        <w:pStyle w:val="3"/>
        <w:numPr>
          <w:ilvl w:val="0"/>
          <w:numId w:val="29"/>
        </w:numPr>
        <w:ind w:left="1418" w:hanging="567"/>
        <w:rPr>
          <w:szCs w:val="20"/>
          <w:highlight w:val="none"/>
        </w:rPr>
      </w:pPr>
      <w:r>
        <w:rPr>
          <w:szCs w:val="20"/>
          <w:highlight w:val="none"/>
        </w:rPr>
        <w:t>Realizar a separação dos resíduos recicláveis descartados, na fonte geradora, e a coleta seletiva do papel para reciclagem, promovendo sua destinação às associações e cooperativas dos catadores de materiais recicláveis, nos termos da IN MARE nº 6, de 3/11/95, e do Decreto nº 5.940/2006, ou outra forma de destinação adequada, quando for o caso.</w:t>
      </w:r>
    </w:p>
    <w:p>
      <w:pPr>
        <w:pStyle w:val="3"/>
        <w:numPr>
          <w:ilvl w:val="1"/>
          <w:numId w:val="30"/>
        </w:numPr>
        <w:ind w:left="1843" w:hanging="425"/>
        <w:rPr>
          <w:szCs w:val="20"/>
          <w:highlight w:val="none"/>
        </w:rPr>
      </w:pPr>
      <w:r>
        <w:rPr>
          <w:szCs w:val="20"/>
          <w:highlight w:val="none"/>
        </w:rPr>
        <w:t>Os resíduos sólidos reutilizáveis e recicláveis devem ser acondicionados adequadamente e de forma diferenciada, para fins de disponibilização à coleta seletiva.</w:t>
      </w:r>
    </w:p>
    <w:p>
      <w:pPr>
        <w:pStyle w:val="3"/>
        <w:numPr>
          <w:ilvl w:val="0"/>
          <w:numId w:val="29"/>
        </w:numPr>
        <w:ind w:left="1418" w:hanging="567"/>
        <w:rPr>
          <w:szCs w:val="20"/>
          <w:highlight w:val="none"/>
        </w:rPr>
      </w:pPr>
      <w:r>
        <w:rPr>
          <w:szCs w:val="20"/>
          <w:highlight w:val="none"/>
        </w:rPr>
        <w:t>Otimizar a utilização de recursos e a redução de desperdícios e de poluição, através das seguintes medidas, dentre outras:</w:t>
      </w:r>
    </w:p>
    <w:p>
      <w:pPr>
        <w:pStyle w:val="3"/>
        <w:numPr>
          <w:ilvl w:val="1"/>
          <w:numId w:val="29"/>
        </w:numPr>
        <w:ind w:left="1843" w:hanging="425"/>
        <w:rPr>
          <w:szCs w:val="20"/>
          <w:highlight w:val="none"/>
        </w:rPr>
      </w:pPr>
      <w:r>
        <w:rPr>
          <w:szCs w:val="20"/>
          <w:highlight w:val="none"/>
        </w:rPr>
        <w:t>Racionalizar o uso de substâncias potencialmente tóxicas ou poluentes;</w:t>
      </w:r>
    </w:p>
    <w:p>
      <w:pPr>
        <w:pStyle w:val="3"/>
        <w:numPr>
          <w:ilvl w:val="1"/>
          <w:numId w:val="29"/>
        </w:numPr>
        <w:ind w:left="1843" w:hanging="425"/>
        <w:rPr>
          <w:szCs w:val="20"/>
          <w:highlight w:val="none"/>
        </w:rPr>
      </w:pPr>
      <w:r>
        <w:rPr>
          <w:szCs w:val="20"/>
          <w:highlight w:val="none"/>
        </w:rPr>
        <w:t>Substituir as substâncias tóxicas por outras atóxicas ou de menor toxicidade;</w:t>
      </w:r>
    </w:p>
    <w:p>
      <w:pPr>
        <w:pStyle w:val="3"/>
        <w:numPr>
          <w:ilvl w:val="1"/>
          <w:numId w:val="29"/>
        </w:numPr>
        <w:ind w:left="1843" w:hanging="425"/>
        <w:rPr>
          <w:szCs w:val="20"/>
          <w:highlight w:val="none"/>
        </w:rPr>
      </w:pPr>
      <w:r>
        <w:rPr>
          <w:szCs w:val="20"/>
          <w:highlight w:val="none"/>
        </w:rPr>
        <w:t>Usar produtos de limpeza e conservação de superfícies e objetos inanimados que obedeçam às classificações e especificações determinadas pela ANVISA;</w:t>
      </w:r>
    </w:p>
    <w:p>
      <w:pPr>
        <w:pStyle w:val="3"/>
        <w:numPr>
          <w:ilvl w:val="1"/>
          <w:numId w:val="29"/>
        </w:numPr>
        <w:ind w:left="1843" w:hanging="425"/>
        <w:rPr>
          <w:szCs w:val="20"/>
          <w:highlight w:val="none"/>
        </w:rPr>
      </w:pPr>
      <w:r>
        <w:rPr>
          <w:szCs w:val="20"/>
          <w:highlight w:val="none"/>
        </w:rPr>
        <w:t>Racionalizar o consumo de energia (especialmente elétrica) e adotar medidas para evitar o desperdício de água tratada;</w:t>
      </w:r>
    </w:p>
    <w:p>
      <w:pPr>
        <w:pStyle w:val="3"/>
        <w:numPr>
          <w:ilvl w:val="1"/>
          <w:numId w:val="29"/>
        </w:numPr>
        <w:ind w:left="1843" w:hanging="425"/>
        <w:rPr>
          <w:szCs w:val="20"/>
          <w:highlight w:val="none"/>
        </w:rPr>
      </w:pPr>
      <w:r>
        <w:rPr>
          <w:szCs w:val="20"/>
          <w:highlight w:val="none"/>
        </w:rPr>
        <w:t>Realizar um programa interno de treinamento de seus empregados, nos três primeiros meses de execução contratual, para redução de consumo de energia elétrica, de consumo de água e redução de produção de resíduos sólidos, observadas as normas ambientais vigentes;</w:t>
      </w:r>
    </w:p>
    <w:p>
      <w:pPr>
        <w:pStyle w:val="3"/>
        <w:numPr>
          <w:ilvl w:val="1"/>
          <w:numId w:val="29"/>
        </w:numPr>
        <w:ind w:left="1843" w:hanging="425"/>
        <w:rPr>
          <w:szCs w:val="20"/>
          <w:highlight w:val="none"/>
        </w:rPr>
      </w:pPr>
      <w:r>
        <w:rPr>
          <w:szCs w:val="20"/>
          <w:highlight w:val="none"/>
        </w:rPr>
        <w:t>Treinar e capacitar periodicamente os empregados em boas práticas de redução de desperdícios e poluição.</w:t>
      </w:r>
    </w:p>
    <w:p>
      <w:pPr>
        <w:pStyle w:val="3"/>
        <w:numPr>
          <w:ilvl w:val="0"/>
          <w:numId w:val="29"/>
        </w:numPr>
        <w:ind w:left="1418" w:hanging="567"/>
        <w:rPr>
          <w:szCs w:val="20"/>
          <w:highlight w:val="none"/>
        </w:rPr>
      </w:pPr>
      <w:r>
        <w:rPr>
          <w:szCs w:val="20"/>
          <w:highlight w:val="none"/>
        </w:rPr>
        <w:t>Utilizar lavagem com água de reuso ou outras fontes, sempre que possível (águas de chuva, poços cuja água seja certificada de não contaminação por metais pesados ou agentes bacteriológicos, minas e outros);</w:t>
      </w:r>
    </w:p>
    <w:p>
      <w:pPr>
        <w:pStyle w:val="3"/>
        <w:numPr>
          <w:ilvl w:val="0"/>
          <w:numId w:val="29"/>
        </w:numPr>
        <w:ind w:left="1418" w:hanging="567"/>
        <w:rPr>
          <w:szCs w:val="20"/>
          <w:highlight w:val="none"/>
        </w:rPr>
      </w:pPr>
      <w:r>
        <w:rPr>
          <w:szCs w:val="20"/>
          <w:highlight w:val="none"/>
        </w:rPr>
        <w:t>Fornecer aos empregados os equipamentos de segurança que se fizerem necessários, para a execução de serviços;</w:t>
      </w:r>
    </w:p>
    <w:p>
      <w:pPr>
        <w:pStyle w:val="3"/>
        <w:numPr>
          <w:ilvl w:val="0"/>
          <w:numId w:val="29"/>
        </w:numPr>
        <w:ind w:left="1418" w:hanging="567"/>
        <w:rPr>
          <w:szCs w:val="20"/>
          <w:highlight w:val="none"/>
        </w:rPr>
      </w:pPr>
      <w:r>
        <w:rPr>
          <w:szCs w:val="20"/>
          <w:highlight w:val="none"/>
        </w:rPr>
        <w:t>Respeitar as Normas Brasileiras - NBR publicadas pela Associação Brasileira de Normas Técnicas sobre resíduos sólidos;</w:t>
      </w:r>
    </w:p>
    <w:p>
      <w:pPr>
        <w:pStyle w:val="3"/>
        <w:numPr>
          <w:ilvl w:val="0"/>
          <w:numId w:val="29"/>
        </w:numPr>
        <w:ind w:left="1418" w:hanging="567"/>
        <w:rPr>
          <w:szCs w:val="20"/>
          <w:highlight w:val="none"/>
        </w:rPr>
      </w:pPr>
      <w:r>
        <w:rPr>
          <w:szCs w:val="20"/>
          <w:highlight w:val="none"/>
        </w:rPr>
        <w:t>Desenvolver ou adotar manuais de procedimentos de descarte de materiais potencialmente poluidores, dentre os quais:</w:t>
      </w:r>
    </w:p>
    <w:p>
      <w:pPr>
        <w:pStyle w:val="3"/>
        <w:numPr>
          <w:ilvl w:val="1"/>
          <w:numId w:val="29"/>
        </w:numPr>
        <w:ind w:left="1843" w:hanging="425"/>
        <w:rPr>
          <w:szCs w:val="20"/>
          <w:highlight w:val="none"/>
        </w:rPr>
      </w:pPr>
      <w:r>
        <w:rPr>
          <w:szCs w:val="20"/>
          <w:highlight w:val="none"/>
        </w:rPr>
        <w:t>Pilhas e baterias que contenham em suas composições chumbo, cádmio, mercúrio e seus compostos devem ser recolhidas e encaminhadas aos estabelecimentos que as comercializam ou à rede de assistência técnica autorizada pelas respectivas indústrias, para repasse aos fabricantes ou importadores;</w:t>
      </w:r>
    </w:p>
    <w:p>
      <w:pPr>
        <w:pStyle w:val="3"/>
        <w:numPr>
          <w:ilvl w:val="1"/>
          <w:numId w:val="29"/>
        </w:numPr>
        <w:ind w:left="1843" w:hanging="425"/>
        <w:rPr>
          <w:szCs w:val="20"/>
          <w:highlight w:val="none"/>
        </w:rPr>
      </w:pPr>
      <w:r>
        <w:rPr>
          <w:szCs w:val="20"/>
          <w:highlight w:val="none"/>
        </w:rPr>
        <w:t>Lâmpadas fluorescentes e frascos de aerossóis em geral devem ser separados e acondicionados em recipientes adequados para destinação específica;</w:t>
      </w:r>
    </w:p>
    <w:p>
      <w:pPr>
        <w:pStyle w:val="3"/>
        <w:numPr>
          <w:ilvl w:val="1"/>
          <w:numId w:val="29"/>
        </w:numPr>
        <w:ind w:left="1843" w:hanging="425"/>
        <w:rPr>
          <w:szCs w:val="20"/>
          <w:highlight w:val="none"/>
        </w:rPr>
      </w:pPr>
      <w:r>
        <w:rPr>
          <w:szCs w:val="20"/>
          <w:highlight w:val="none"/>
        </w:rPr>
        <w:t>Pneumáticos inservíveis devem ser encaminhados aos fabricantes para destinação final, ambientalmente adequada, conforme disciplina normativa vigente.</w:t>
      </w:r>
    </w:p>
    <w:p>
      <w:pPr>
        <w:ind w:left="1843" w:hanging="425"/>
        <w:rPr>
          <w:szCs w:val="20"/>
          <w:highlight w:val="none"/>
        </w:rPr>
      </w:pPr>
    </w:p>
    <w:p>
      <w:pPr>
        <w:pStyle w:val="4"/>
        <w:tabs>
          <w:tab w:val="left" w:pos="851"/>
        </w:tabs>
        <w:ind w:left="851" w:hanging="851"/>
        <w:rPr>
          <w:szCs w:val="20"/>
          <w:highlight w:val="none"/>
        </w:rPr>
      </w:pPr>
      <w:r>
        <w:rPr>
          <w:szCs w:val="20"/>
          <w:highlight w:val="none"/>
        </w:rPr>
        <w:t>A CONTRATADA deverá observar as diretrizes, critérios e procedimentos para a gestão dos resíduos da construção civil estabelecidos na Lei nº 12.305, de 2010 – Política Nacional de Resíduos Sólidos, Resolução nº 307, de 05/07/2002, do Conselho Nacional de Meio Ambiente – CONAMA, e suas alterações, e Instrução Normativa SLTI/MPOG n° 1, de 19/01/2010, nos seguintes termos:</w:t>
      </w:r>
    </w:p>
    <w:p>
      <w:pPr>
        <w:rPr>
          <w:szCs w:val="20"/>
          <w:highlight w:val="none"/>
        </w:rPr>
      </w:pPr>
    </w:p>
    <w:p>
      <w:pPr>
        <w:pStyle w:val="3"/>
        <w:numPr>
          <w:ilvl w:val="0"/>
          <w:numId w:val="31"/>
        </w:numPr>
        <w:ind w:left="1645" w:hanging="397"/>
        <w:rPr>
          <w:szCs w:val="20"/>
          <w:highlight w:val="none"/>
        </w:rPr>
      </w:pPr>
      <w:r>
        <w:rPr>
          <w:szCs w:val="20"/>
          <w:highlight w:val="none"/>
        </w:rPr>
        <w:t>O gerenciamento dos resíduos originários da contratação deverá obedecer às diretrizes técnicas e procedimentos do Plano Municipal de Gestão de Resíduos da Construção Civil, ou do Plano de Gerenciamento de Resíduos da Construção Civil apresentado ao órgão competente, conforme o caso;</w:t>
      </w:r>
    </w:p>
    <w:p>
      <w:pPr>
        <w:pStyle w:val="3"/>
        <w:numPr>
          <w:ilvl w:val="0"/>
          <w:numId w:val="31"/>
        </w:numPr>
        <w:ind w:left="1645" w:hanging="397"/>
        <w:rPr>
          <w:szCs w:val="20"/>
          <w:highlight w:val="none"/>
        </w:rPr>
      </w:pPr>
      <w:r>
        <w:rPr>
          <w:szCs w:val="20"/>
          <w:highlight w:val="none"/>
        </w:rPr>
        <w:t>Nos termos dos artigos 3° e 10° da Resolução CONAMA n° 307, de 05/07/2002, a CONTRATADA deverá providenciar a destinação ambientalmente adequada dos resíduos da construção civil originários da contratação, obedecendo, no que couber, aos seguintes procedimentos:</w:t>
      </w:r>
    </w:p>
    <w:p>
      <w:pPr>
        <w:ind w:left="964"/>
        <w:rPr>
          <w:szCs w:val="20"/>
          <w:highlight w:val="none"/>
        </w:rPr>
      </w:pPr>
    </w:p>
    <w:p>
      <w:pPr>
        <w:ind w:left="2042" w:hanging="397"/>
        <w:rPr>
          <w:szCs w:val="20"/>
          <w:highlight w:val="none"/>
        </w:rPr>
      </w:pPr>
      <w:r>
        <w:rPr>
          <w:szCs w:val="20"/>
          <w:highlight w:val="none"/>
        </w:rPr>
        <w:t>b.1) resíduos Classe A (reutilizáveis ou recicláveis como agregados): deverão ser reutilizados ou reciclados na forma de agregados ou encaminhados a aterro de resíduos Classe A de reservação de material para usos futuros;</w:t>
      </w:r>
    </w:p>
    <w:p>
      <w:pPr>
        <w:ind w:left="2042" w:hanging="397"/>
        <w:rPr>
          <w:szCs w:val="20"/>
          <w:highlight w:val="none"/>
        </w:rPr>
      </w:pPr>
      <w:r>
        <w:rPr>
          <w:szCs w:val="20"/>
          <w:highlight w:val="none"/>
        </w:rPr>
        <w:t>b.2) resíduos Classe B (recicláveis para outras destinações): deverão ser reutilizados, reciclados ou encaminhados a áreas de armazenamento temporário, sendo dispostos de modo a permitir a sua utilização ou reciclagem futura;</w:t>
      </w:r>
    </w:p>
    <w:p>
      <w:pPr>
        <w:ind w:left="2042" w:hanging="397"/>
        <w:rPr>
          <w:szCs w:val="20"/>
          <w:highlight w:val="none"/>
        </w:rPr>
      </w:pPr>
      <w:r>
        <w:rPr>
          <w:szCs w:val="20"/>
          <w:highlight w:val="none"/>
        </w:rPr>
        <w:t>b.3) resíduos Classe C (para os quais não foram desenvolvidas tecnologias ou aplicações economicamente viáveis que permitam a sua reciclagem/recuperação): deverão ser armazenados, transportados e destinados em conformidade com as normas técnicas específicas;</w:t>
      </w:r>
    </w:p>
    <w:p>
      <w:pPr>
        <w:ind w:left="2042" w:hanging="397"/>
        <w:rPr>
          <w:sz w:val="21"/>
          <w:szCs w:val="20"/>
          <w:highlight w:val="none"/>
        </w:rPr>
      </w:pPr>
      <w:r>
        <w:rPr>
          <w:sz w:val="21"/>
          <w:szCs w:val="20"/>
          <w:highlight w:val="none"/>
        </w:rPr>
        <w:t>b.4) resíduos Classe D (perigosos, contaminados ou prejudiciais à saúde): deverão ser armazenados, transportados e destinados em conformidade com as normas técnicas específicas.</w:t>
      </w:r>
    </w:p>
    <w:p>
      <w:pPr>
        <w:ind w:left="964"/>
        <w:rPr>
          <w:szCs w:val="20"/>
          <w:highlight w:val="none"/>
        </w:rPr>
      </w:pPr>
    </w:p>
    <w:p>
      <w:pPr>
        <w:pStyle w:val="3"/>
        <w:numPr>
          <w:ilvl w:val="0"/>
          <w:numId w:val="31"/>
        </w:numPr>
        <w:ind w:left="1645" w:hanging="397"/>
        <w:rPr>
          <w:szCs w:val="20"/>
          <w:highlight w:val="none"/>
        </w:rPr>
      </w:pPr>
      <w:r>
        <w:rPr>
          <w:szCs w:val="20"/>
          <w:highlight w:val="none"/>
        </w:rPr>
        <w:t>Em nenhuma hipótese a CONTRATADA poderá dispor os resíduos originários da contratação, em aterros de resíduos domiciliares, áreas de “bota fora”, encostas, corpos d´água, lotes vagos e áreas protegidas por Lei, bem como em áreas não licenciadas.</w:t>
      </w:r>
    </w:p>
    <w:p>
      <w:pPr>
        <w:pStyle w:val="3"/>
        <w:numPr>
          <w:ilvl w:val="0"/>
          <w:numId w:val="31"/>
        </w:numPr>
        <w:ind w:left="1645" w:hanging="397"/>
        <w:rPr>
          <w:szCs w:val="20"/>
          <w:highlight w:val="none"/>
        </w:rPr>
      </w:pPr>
      <w:r>
        <w:rPr>
          <w:szCs w:val="20"/>
          <w:highlight w:val="none"/>
        </w:rPr>
        <w:t>É terminantemente proibida a disposição inadequada ou a queima de resíduos da construção civil.</w:t>
      </w:r>
    </w:p>
    <w:p>
      <w:pPr>
        <w:pStyle w:val="3"/>
        <w:numPr>
          <w:ilvl w:val="0"/>
          <w:numId w:val="31"/>
        </w:numPr>
        <w:ind w:left="1645" w:hanging="397"/>
        <w:rPr>
          <w:szCs w:val="20"/>
          <w:highlight w:val="none"/>
        </w:rPr>
      </w:pPr>
      <w:r>
        <w:rPr>
          <w:szCs w:val="20"/>
          <w:highlight w:val="none"/>
        </w:rPr>
        <w:t>Para fins de fiscalização do fiel cumprimento do Plano Municipal de Gestão de Resíduos da Construção Civil, ou do Plano de Gerenciamento de Resíduos da Construção Civil, conforme o caso, a CONTRATADA comprovará, sob pena de multa, que todos os resíduos removidos estão acompanhados de Controle de Transporte de Resíduos, em conformidade com as normas da Agência Brasileira de Normas Técnicas - ABNT, ABNT NBR nºs 15.112, 15.113, 15.114, 15.115 e 15.116, de 2004.”</w:t>
      </w:r>
    </w:p>
    <w:p>
      <w:pPr>
        <w:pStyle w:val="3"/>
        <w:numPr>
          <w:ilvl w:val="0"/>
          <w:numId w:val="31"/>
        </w:numPr>
        <w:ind w:left="1645" w:hanging="397"/>
        <w:rPr>
          <w:szCs w:val="20"/>
          <w:highlight w:val="none"/>
        </w:rPr>
      </w:pPr>
      <w:r>
        <w:rPr>
          <w:szCs w:val="20"/>
          <w:highlight w:val="none"/>
        </w:rPr>
        <w:t>A contratada devera apresentar regularmente à fiscalização, o relatório de execução do Plano de Gerenciamento de Resíduos da Construção Civil.</w:t>
      </w:r>
    </w:p>
    <w:p>
      <w:pPr>
        <w:ind w:left="964"/>
        <w:rPr>
          <w:szCs w:val="20"/>
          <w:highlight w:val="none"/>
        </w:rPr>
      </w:pPr>
    </w:p>
    <w:p>
      <w:pPr>
        <w:pStyle w:val="4"/>
        <w:ind w:left="851" w:hanging="851"/>
        <w:rPr>
          <w:szCs w:val="20"/>
          <w:highlight w:val="none"/>
        </w:rPr>
      </w:pPr>
      <w:r>
        <w:rPr>
          <w:szCs w:val="20"/>
          <w:highlight w:val="none"/>
        </w:rPr>
        <w:t>Nos termos do artigo 33, inciso IV, da Lei n° 12.305/2010 – Política Nacional de Resíduos Sólidos e Resolução CONAMA n° 362, de 23/06/2005, a CONTRATADA deverá efetuar o recolhimento e o descarte adequado do óleo lubrificante usado ou contaminado originário da contratação, bem como de seus resíduos e embalagens, obedecendo aos seguintes procedimentos:</w:t>
      </w:r>
    </w:p>
    <w:p>
      <w:pPr>
        <w:rPr>
          <w:szCs w:val="20"/>
          <w:highlight w:val="none"/>
        </w:rPr>
      </w:pPr>
    </w:p>
    <w:p>
      <w:pPr>
        <w:pStyle w:val="3"/>
        <w:numPr>
          <w:ilvl w:val="0"/>
          <w:numId w:val="32"/>
        </w:numPr>
        <w:ind w:left="1418" w:hanging="567"/>
        <w:rPr>
          <w:szCs w:val="20"/>
          <w:highlight w:val="none"/>
        </w:rPr>
      </w:pPr>
      <w:r>
        <w:rPr>
          <w:szCs w:val="20"/>
          <w:highlight w:val="none"/>
        </w:rPr>
        <w:t>Recolher o óleo lubrificante usado ou contaminado, armazenando-o em recipientes adequados e resistentes a vazamentos e adotando as medidas necessárias para evitar que venha a ser misturado com produtos químicos, combustíveis, solventes, água e outras substâncias que inviabilizem sua reciclagem, conforme artigo 18, incisos I e II, da Resolução CONAMA n° 362, de 23/06/2005 e legislação correlata;</w:t>
      </w:r>
    </w:p>
    <w:p>
      <w:pPr>
        <w:pStyle w:val="3"/>
        <w:numPr>
          <w:ilvl w:val="0"/>
          <w:numId w:val="32"/>
        </w:numPr>
        <w:ind w:left="1418" w:hanging="567"/>
        <w:rPr>
          <w:szCs w:val="20"/>
          <w:highlight w:val="none"/>
        </w:rPr>
      </w:pPr>
      <w:r>
        <w:rPr>
          <w:szCs w:val="20"/>
          <w:highlight w:val="none"/>
        </w:rPr>
        <w:t>Providenciar a coleta do óleo lubrificante usado ou contaminado recolhido, através de empresa coletora devidamente autorizada e licenciada pelos órgãos competentes, ou entregá-lo diretamente a um revendedor de óleo lubrificante acabado no atacado ou no varejo, que tem obrigação de recebê-lo e recolhê-lo de forma segura, para fins de sua destinação final ambientalmente adequada, conforme artigo 18, inciso III e § 2°, da Resolução CONAMA n° 362, de 23/06/2005, e legislação correlata;</w:t>
      </w:r>
    </w:p>
    <w:p>
      <w:pPr>
        <w:pStyle w:val="3"/>
        <w:numPr>
          <w:ilvl w:val="0"/>
          <w:numId w:val="32"/>
        </w:numPr>
        <w:ind w:left="1418" w:hanging="567"/>
        <w:rPr>
          <w:szCs w:val="20"/>
          <w:highlight w:val="none"/>
        </w:rPr>
      </w:pPr>
      <w:r>
        <w:rPr>
          <w:szCs w:val="20"/>
          <w:highlight w:val="none"/>
        </w:rPr>
        <w:t>Exclusivamente quando se tratar de óleo lubrificante usado ou contaminado não reciclável, dar-lhe a destinação final ambientalmente adequada, devidamente autorizada pelo órgão ambiental competente, conforme artigo 18, inciso VII, da Resolução CONAMA n° 362, de 23/06/2005, e legislação correlata.</w:t>
      </w:r>
    </w:p>
    <w:p>
      <w:pPr>
        <w:rPr>
          <w:szCs w:val="20"/>
          <w:highlight w:val="none"/>
        </w:rPr>
      </w:pPr>
    </w:p>
    <w:p>
      <w:pPr>
        <w:pStyle w:val="4"/>
        <w:ind w:left="851" w:hanging="851"/>
        <w:rPr>
          <w:szCs w:val="20"/>
          <w:highlight w:val="none"/>
        </w:rPr>
      </w:pPr>
      <w:r>
        <w:rPr>
          <w:szCs w:val="20"/>
          <w:highlight w:val="none"/>
        </w:rPr>
        <w:t>Se houver a aquisição de bens, a CONTRATADA deverá observar os seguintes critérios de sustentabilidade ambiental, conforme a instrução normativa SLTI/MP nº 01/2010:</w:t>
      </w:r>
    </w:p>
    <w:p>
      <w:pPr>
        <w:pStyle w:val="3"/>
        <w:numPr>
          <w:ilvl w:val="0"/>
          <w:numId w:val="33"/>
        </w:numPr>
        <w:ind w:left="1418" w:hanging="567"/>
        <w:rPr>
          <w:szCs w:val="20"/>
          <w:highlight w:val="none"/>
        </w:rPr>
      </w:pPr>
      <w:r>
        <w:rPr>
          <w:szCs w:val="20"/>
          <w:highlight w:val="none"/>
        </w:rPr>
        <w:t>Que os bens sejam constituídos, no todo ou em parte, por material reciclado, atóxico, biodegradável, conforme ABNT NBR – 15448-1 e 15448-2;</w:t>
      </w:r>
    </w:p>
    <w:p>
      <w:pPr>
        <w:pStyle w:val="3"/>
        <w:numPr>
          <w:ilvl w:val="0"/>
          <w:numId w:val="33"/>
        </w:numPr>
        <w:ind w:left="1418" w:hanging="567"/>
        <w:rPr>
          <w:szCs w:val="20"/>
          <w:highlight w:val="none"/>
        </w:rPr>
      </w:pPr>
      <w:r>
        <w:rPr>
          <w:szCs w:val="20"/>
          <w:highlight w:val="none"/>
        </w:rPr>
        <w:t>Que sejam observados os requisitos ambientais para a obtenção de certificação do Instituto Nacional de Metrologia, Normalização e Qualidade Industrial – INMETRO como produtos sustentáveis ou de menor impacto ambiental em relação aos seus similares;</w:t>
      </w:r>
    </w:p>
    <w:p>
      <w:pPr>
        <w:pStyle w:val="3"/>
        <w:numPr>
          <w:ilvl w:val="0"/>
          <w:numId w:val="33"/>
        </w:numPr>
        <w:ind w:left="1418" w:hanging="567"/>
        <w:rPr>
          <w:szCs w:val="20"/>
          <w:highlight w:val="none"/>
        </w:rPr>
      </w:pPr>
      <w:r>
        <w:rPr>
          <w:szCs w:val="20"/>
          <w:highlight w:val="none"/>
        </w:rPr>
        <w:t>Que os bens devam ser, preferencialmente, acondicionados em embalagem adequada, com o menor volume possível, que utilize materiais recicláveis, de forma a garantir a máxima proteção durante o transporte e o armazenamento;</w:t>
      </w:r>
    </w:p>
    <w:p>
      <w:pPr>
        <w:pStyle w:val="3"/>
        <w:numPr>
          <w:ilvl w:val="0"/>
          <w:numId w:val="33"/>
        </w:numPr>
        <w:ind w:left="1418" w:hanging="567"/>
        <w:rPr>
          <w:szCs w:val="20"/>
          <w:highlight w:val="none"/>
        </w:rPr>
      </w:pPr>
      <w:r>
        <w:rPr>
          <w:szCs w:val="20"/>
          <w:highlight w:val="none"/>
        </w:rPr>
        <w:t>Que os bens não contenham substâncias perigosas em concentração acima da recomendada na diretiva RoHS (RestrictionofCertainHazardousSubstances), tais como mercúrio (Hg), chumbo (Pb), cromo hexavalente (Cr(VI)), cádmio (Cd), bifenil-polibromados (PBBs), éteres difenil-polibromados (PBDEs).</w:t>
      </w:r>
    </w:p>
    <w:p>
      <w:pPr>
        <w:ind w:left="1418" w:hanging="567"/>
        <w:rPr>
          <w:szCs w:val="20"/>
          <w:highlight w:val="none"/>
        </w:rPr>
      </w:pPr>
    </w:p>
    <w:p>
      <w:pPr>
        <w:pStyle w:val="4"/>
        <w:ind w:left="851" w:hanging="851"/>
        <w:rPr>
          <w:szCs w:val="20"/>
          <w:highlight w:val="none"/>
        </w:rPr>
      </w:pPr>
      <w:r>
        <w:rPr>
          <w:szCs w:val="20"/>
          <w:highlight w:val="none"/>
        </w:rPr>
        <w:t>A CONTRATADA deverá comprovar a adoção de práticas de desfazimento sustentável ou reciclagem dos bens que forem inservíveis para o processo de reutilização.</w:t>
      </w:r>
    </w:p>
    <w:p>
      <w:pPr>
        <w:rPr>
          <w:szCs w:val="20"/>
          <w:highlight w:val="none"/>
        </w:rPr>
      </w:pPr>
    </w:p>
    <w:p>
      <w:pPr>
        <w:rPr>
          <w:szCs w:val="20"/>
          <w:highlight w:val="none"/>
        </w:rPr>
      </w:pPr>
    </w:p>
    <w:p>
      <w:pPr>
        <w:pStyle w:val="2"/>
        <w:ind w:left="851" w:hanging="851"/>
        <w:rPr>
          <w:szCs w:val="20"/>
          <w:highlight w:val="none"/>
        </w:rPr>
      </w:pPr>
      <w:bookmarkStart w:id="43" w:name="_Toc14719"/>
      <w:r>
        <w:rPr>
          <w:szCs w:val="20"/>
          <w:highlight w:val="none"/>
        </w:rPr>
        <w:t>OBRIGAÇÕES DA CONTRATADA</w:t>
      </w:r>
      <w:bookmarkEnd w:id="43"/>
    </w:p>
    <w:p>
      <w:pPr>
        <w:rPr>
          <w:szCs w:val="20"/>
          <w:highlight w:val="none"/>
        </w:rPr>
      </w:pPr>
    </w:p>
    <w:p>
      <w:pPr>
        <w:pStyle w:val="4"/>
        <w:ind w:left="851" w:hanging="851"/>
        <w:rPr>
          <w:szCs w:val="20"/>
          <w:highlight w:val="none"/>
        </w:rPr>
      </w:pPr>
      <w:r>
        <w:rPr>
          <w:szCs w:val="20"/>
          <w:highlight w:val="none"/>
        </w:rPr>
        <w:t>A CONTRATADA deverá apresentar à Codevasf antes do início dos trabalhos, os seguintes documentos:</w:t>
      </w:r>
    </w:p>
    <w:p>
      <w:pPr>
        <w:rPr>
          <w:szCs w:val="20"/>
          <w:highlight w:val="none"/>
        </w:rPr>
      </w:pPr>
    </w:p>
    <w:p>
      <w:pPr>
        <w:pStyle w:val="3"/>
        <w:numPr>
          <w:ilvl w:val="0"/>
          <w:numId w:val="34"/>
        </w:numPr>
        <w:ind w:left="1418" w:hanging="567"/>
        <w:rPr>
          <w:szCs w:val="20"/>
          <w:highlight w:val="none"/>
        </w:rPr>
      </w:pPr>
      <w:r>
        <w:rPr>
          <w:szCs w:val="20"/>
          <w:highlight w:val="none"/>
        </w:rPr>
        <w:t>Identificação da área para construção de canteiro de obra e “layout” das instalações e edificações previstas, bem como área para implantação do laboratório de ensaios de campo, quando for o caso.</w:t>
      </w:r>
    </w:p>
    <w:p>
      <w:pPr>
        <w:pStyle w:val="3"/>
        <w:numPr>
          <w:ilvl w:val="0"/>
          <w:numId w:val="0"/>
        </w:numPr>
        <w:ind w:left="851"/>
        <w:rPr>
          <w:szCs w:val="20"/>
          <w:highlight w:val="none"/>
        </w:rPr>
      </w:pPr>
    </w:p>
    <w:p>
      <w:pPr>
        <w:pStyle w:val="3"/>
        <w:numPr>
          <w:ilvl w:val="1"/>
          <w:numId w:val="34"/>
        </w:numPr>
        <w:ind w:left="2000" w:hanging="567"/>
        <w:rPr>
          <w:szCs w:val="20"/>
          <w:highlight w:val="none"/>
        </w:rPr>
      </w:pPr>
      <w:r>
        <w:rPr>
          <w:szCs w:val="20"/>
          <w:highlight w:val="none"/>
        </w:rPr>
        <w:t>O canteiro de obra deverá prever soluções adequadas para abastecimento de água, esgotamento sanitário e gestão de resíduos sólidos, em conformidade com a legislação ambiental pertinente.</w:t>
      </w:r>
    </w:p>
    <w:p>
      <w:pPr>
        <w:pStyle w:val="3"/>
        <w:numPr>
          <w:ilvl w:val="0"/>
          <w:numId w:val="0"/>
        </w:numPr>
        <w:ind w:left="1433"/>
        <w:rPr>
          <w:szCs w:val="20"/>
          <w:highlight w:val="none"/>
        </w:rPr>
      </w:pPr>
    </w:p>
    <w:p>
      <w:pPr>
        <w:pStyle w:val="3"/>
        <w:numPr>
          <w:ilvl w:val="0"/>
          <w:numId w:val="34"/>
        </w:numPr>
        <w:ind w:left="1418" w:hanging="567"/>
        <w:rPr>
          <w:szCs w:val="20"/>
          <w:highlight w:val="none"/>
        </w:rPr>
      </w:pPr>
      <w:r>
        <w:rPr>
          <w:szCs w:val="20"/>
          <w:highlight w:val="none"/>
        </w:rPr>
        <w:t>Plano de trabalho detalhado para os serviços propostos e respectivas metodologias de execução, devendo ser complementado com desenhos, croquis ou gráficos elucidativos das fases de implantação, respeitando os prazos parcial e final para execução das obras. Na formulação do plano de trabalho proposto a CONTRATADA deverá considerar, necessariamente, as diretrizes, recomendações e exigências previstas no Plano de Controle Ambiental da Obra e outros Planos Ambientais decorrentes e o esquema organizacional da CONTRATADA para a obra.</w:t>
      </w:r>
    </w:p>
    <w:p>
      <w:pPr>
        <w:ind w:left="1418" w:hanging="567"/>
        <w:rPr>
          <w:szCs w:val="20"/>
          <w:highlight w:val="none"/>
        </w:rPr>
      </w:pPr>
    </w:p>
    <w:p>
      <w:pPr>
        <w:pStyle w:val="3"/>
        <w:numPr>
          <w:ilvl w:val="0"/>
          <w:numId w:val="35"/>
        </w:numPr>
        <w:ind w:left="1985" w:hanging="567"/>
        <w:rPr>
          <w:szCs w:val="20"/>
          <w:highlight w:val="none"/>
        </w:rPr>
      </w:pPr>
      <w:r>
        <w:rPr>
          <w:szCs w:val="20"/>
          <w:highlight w:val="none"/>
        </w:rPr>
        <w:t>Com base no pleno conhecimento das condições locais a CONTRATADA deverá apresentar declaração de procedência dos materiais a serem utilizados, tais como: areia, brita, pedra, indicando, quando não especificado no projeto básico ou executivo, sua localização e distância de transporte posto obra, inclusive quanto ao fornecimento de água para manutenção do canteiro.</w:t>
      </w:r>
    </w:p>
    <w:p>
      <w:pPr>
        <w:ind w:left="1418" w:hanging="567"/>
        <w:rPr>
          <w:szCs w:val="20"/>
          <w:highlight w:val="none"/>
        </w:rPr>
      </w:pPr>
    </w:p>
    <w:p>
      <w:pPr>
        <w:pStyle w:val="3"/>
        <w:numPr>
          <w:ilvl w:val="0"/>
          <w:numId w:val="34"/>
        </w:numPr>
        <w:ind w:left="1418" w:hanging="567"/>
        <w:rPr>
          <w:szCs w:val="20"/>
          <w:highlight w:val="none"/>
        </w:rPr>
      </w:pPr>
      <w:r>
        <w:rPr>
          <w:szCs w:val="20"/>
          <w:highlight w:val="none"/>
        </w:rPr>
        <w:t>Planejamento em meio eletrônico, no formato MS Project ou software similar, demonstrando todas as etapas previstas para a execução do objeto contratado;</w:t>
      </w:r>
    </w:p>
    <w:p>
      <w:pPr>
        <w:pStyle w:val="3"/>
        <w:numPr>
          <w:ilvl w:val="0"/>
          <w:numId w:val="34"/>
        </w:numPr>
        <w:ind w:left="1418" w:hanging="567"/>
        <w:rPr>
          <w:szCs w:val="20"/>
          <w:highlight w:val="none"/>
        </w:rPr>
      </w:pPr>
      <w:r>
        <w:rPr>
          <w:szCs w:val="20"/>
          <w:highlight w:val="none"/>
        </w:rPr>
        <w:t>Cronograma físico-financeiro, detalhado e adequado ao Plano de Trabalho referido na alínea acima.</w:t>
      </w:r>
    </w:p>
    <w:p>
      <w:pPr>
        <w:pStyle w:val="3"/>
        <w:numPr>
          <w:ilvl w:val="0"/>
          <w:numId w:val="34"/>
        </w:numPr>
        <w:ind w:left="1418" w:hanging="567"/>
        <w:rPr>
          <w:sz w:val="21"/>
          <w:szCs w:val="20"/>
          <w:highlight w:val="none"/>
        </w:rPr>
      </w:pPr>
      <w:r>
        <w:rPr>
          <w:sz w:val="21"/>
          <w:szCs w:val="20"/>
          <w:highlight w:val="none"/>
        </w:rPr>
        <w:t xml:space="preserve">Relação dos serviços especializados que serão subcontratados, considerando as condições estabelecidas neste Termo de Referência. A Contratada quando da solicitação de autorização para os serviços parciais a serem subcontratados deverá demonstrar em sua proposta de preços os serviços e/ou fornecimentos que serão subcontratados, bem como, comprovar a habilitação da empresa subcontratada,respeitando os limites de subcontratação constante do subitem </w:t>
      </w:r>
      <w:r>
        <w:rPr>
          <w:highlight w:val="none"/>
        </w:rPr>
        <w:fldChar w:fldCharType="begin"/>
      </w:r>
      <w:r>
        <w:rPr>
          <w:highlight w:val="none"/>
        </w:rPr>
        <w:instrText xml:space="preserve"> REF _Ref455652949 \r \h  \* MERGEFORMAT </w:instrText>
      </w:r>
      <w:r>
        <w:rPr>
          <w:highlight w:val="none"/>
        </w:rPr>
        <w:fldChar w:fldCharType="separate"/>
      </w:r>
      <w:r>
        <w:rPr>
          <w:sz w:val="21"/>
          <w:szCs w:val="20"/>
          <w:highlight w:val="none"/>
        </w:rPr>
        <w:t>6.3</w:t>
      </w:r>
      <w:r>
        <w:rPr>
          <w:sz w:val="21"/>
          <w:szCs w:val="20"/>
          <w:highlight w:val="none"/>
        </w:rPr>
        <w:fldChar w:fldCharType="end"/>
      </w:r>
      <w:r>
        <w:rPr>
          <w:sz w:val="21"/>
          <w:szCs w:val="20"/>
          <w:highlight w:val="none"/>
        </w:rPr>
        <w:t>. Além disso, deverá ser apresentada a documentação descrita abaixo, que deverá ser previamente aprovada pela Fiscalização da Codevasf:</w:t>
      </w:r>
    </w:p>
    <w:p>
      <w:pPr>
        <w:pStyle w:val="5"/>
        <w:numPr>
          <w:ilvl w:val="0"/>
          <w:numId w:val="0"/>
        </w:numPr>
        <w:ind w:left="1985"/>
        <w:rPr>
          <w:highlight w:val="none"/>
        </w:rPr>
      </w:pPr>
      <w:r>
        <w:rPr>
          <w:highlight w:val="none"/>
        </w:rPr>
        <w:t>e1)</w:t>
      </w:r>
      <w:r>
        <w:rPr>
          <w:highlight w:val="none"/>
        </w:rPr>
        <w:tab/>
      </w:r>
      <w:r>
        <w:rPr>
          <w:highlight w:val="none"/>
        </w:rPr>
        <w:t>Regularidade jurídica, fiscal e qualificação econômico-financeira deverá ser atendida conforme exigência do Edital;</w:t>
      </w:r>
    </w:p>
    <w:p>
      <w:pPr>
        <w:pStyle w:val="5"/>
        <w:numPr>
          <w:ilvl w:val="0"/>
          <w:numId w:val="0"/>
        </w:numPr>
        <w:ind w:left="1985"/>
        <w:rPr>
          <w:highlight w:val="none"/>
        </w:rPr>
      </w:pPr>
      <w:r>
        <w:rPr>
          <w:highlight w:val="none"/>
        </w:rPr>
        <w:t>e2)</w:t>
      </w:r>
      <w:r>
        <w:rPr>
          <w:highlight w:val="none"/>
        </w:rPr>
        <w:tab/>
      </w:r>
      <w:r>
        <w:rPr>
          <w:highlight w:val="none"/>
        </w:rPr>
        <w:t>Registro ou inscrição da SUBCONTRATADA no Conselho de Classe Profissional, demonstrando o ramo de atividade;</w:t>
      </w:r>
    </w:p>
    <w:p>
      <w:pPr>
        <w:pStyle w:val="5"/>
        <w:numPr>
          <w:ilvl w:val="0"/>
          <w:numId w:val="0"/>
        </w:numPr>
        <w:ind w:left="1985"/>
        <w:rPr>
          <w:highlight w:val="none"/>
        </w:rPr>
      </w:pPr>
      <w:r>
        <w:rPr>
          <w:highlight w:val="none"/>
        </w:rPr>
        <w:t>e3)</w:t>
      </w:r>
      <w:r>
        <w:rPr>
          <w:highlight w:val="none"/>
        </w:rPr>
        <w:tab/>
      </w:r>
      <w:r>
        <w:rPr>
          <w:highlight w:val="none"/>
        </w:rPr>
        <w:t xml:space="preserve">Comprovação de </w:t>
      </w:r>
      <w:r>
        <w:rPr>
          <w:b/>
          <w:highlight w:val="none"/>
          <w:u w:val="single"/>
        </w:rPr>
        <w:t>capacidade técnica-operacional</w:t>
      </w:r>
      <w:r>
        <w:rPr>
          <w:highlight w:val="none"/>
        </w:rPr>
        <w:t xml:space="preserve"> da SUBCONTRATADA, representado por certidão(ões) ou atestado(s) expedidos por pessoas jurídicas de direito público ou privado, acompanhado do CAT - Certidão de Acervo Técnico do profissional responsável à época, comprovando a execução de serviços similares àqueles que serão subcontratados, em empreendimentos de porte e complexidade similar ao objeto da licitação;</w:t>
      </w:r>
    </w:p>
    <w:p>
      <w:pPr>
        <w:pStyle w:val="5"/>
        <w:numPr>
          <w:ilvl w:val="0"/>
          <w:numId w:val="0"/>
        </w:numPr>
        <w:ind w:left="1985"/>
        <w:rPr>
          <w:highlight w:val="none"/>
        </w:rPr>
      </w:pPr>
      <w:r>
        <w:rPr>
          <w:highlight w:val="none"/>
        </w:rPr>
        <w:t>e4)</w:t>
      </w:r>
      <w:r>
        <w:rPr>
          <w:highlight w:val="none"/>
        </w:rPr>
        <w:tab/>
      </w:r>
      <w:r>
        <w:rPr>
          <w:highlight w:val="none"/>
        </w:rPr>
        <w:t>Declaração de que entre os responsáveis técnicos ou sócios não constam funcionários, empregados ou ocupantes de cargo comissionado na Codevasf</w:t>
      </w:r>
    </w:p>
    <w:p>
      <w:pPr>
        <w:pStyle w:val="5"/>
        <w:numPr>
          <w:ilvl w:val="0"/>
          <w:numId w:val="0"/>
        </w:numPr>
        <w:ind w:left="1985"/>
        <w:rPr>
          <w:highlight w:val="none"/>
        </w:rPr>
      </w:pPr>
      <w:r>
        <w:rPr>
          <w:highlight w:val="none"/>
        </w:rPr>
        <w:t>e5)</w:t>
      </w:r>
      <w:r>
        <w:rPr>
          <w:highlight w:val="none"/>
        </w:rPr>
        <w:tab/>
      </w:r>
      <w:r>
        <w:rPr>
          <w:highlight w:val="none"/>
        </w:rPr>
        <w:t>Durante a execução do CONTRATO a SUBCONTRATADA indicada pode ser substituída por empresa com capacidade equivalente ou superior, desde que aprovado previamente pela CODEVASF.</w:t>
      </w:r>
    </w:p>
    <w:p>
      <w:pPr>
        <w:rPr>
          <w:highlight w:val="none"/>
          <w:lang w:eastAsia="pt-BR"/>
        </w:rPr>
      </w:pPr>
    </w:p>
    <w:p>
      <w:pPr>
        <w:pStyle w:val="3"/>
        <w:numPr>
          <w:ilvl w:val="0"/>
          <w:numId w:val="34"/>
        </w:numPr>
        <w:ind w:left="1418" w:hanging="567"/>
        <w:rPr>
          <w:szCs w:val="20"/>
          <w:highlight w:val="none"/>
        </w:rPr>
      </w:pPr>
      <w:r>
        <w:rPr>
          <w:szCs w:val="20"/>
          <w:highlight w:val="none"/>
        </w:rPr>
        <w:t>As Anotações de Responsabilidade Técnica – ART´s referentes ao objeto do contrato e especialidades pertinentes, nos termos da Lei nº. 6.496/77, juntamente com o registro dos responsáveis técnicos pelos serviços objeto desta licitação, conforme Resolução n° 317 de 31/10/86.</w:t>
      </w:r>
    </w:p>
    <w:p>
      <w:pPr>
        <w:pStyle w:val="3"/>
        <w:numPr>
          <w:ilvl w:val="0"/>
          <w:numId w:val="34"/>
        </w:numPr>
        <w:ind w:left="1418" w:hanging="567"/>
        <w:rPr>
          <w:szCs w:val="20"/>
          <w:highlight w:val="none"/>
        </w:rPr>
      </w:pPr>
      <w:r>
        <w:rPr>
          <w:szCs w:val="20"/>
          <w:highlight w:val="none"/>
        </w:rPr>
        <w:t>Autorização dos órgãos competentes para escavação/desmonte de rocha com uso de explosivos, plano de fogo assinado por Engenheiro de Minas com a respectiva ART, e projeto do paiol.</w:t>
      </w:r>
    </w:p>
    <w:p>
      <w:pPr>
        <w:pStyle w:val="3"/>
        <w:numPr>
          <w:ilvl w:val="0"/>
          <w:numId w:val="34"/>
        </w:numPr>
        <w:ind w:left="1418" w:hanging="567"/>
        <w:rPr>
          <w:szCs w:val="20"/>
          <w:highlight w:val="none"/>
        </w:rPr>
      </w:pPr>
      <w:r>
        <w:rPr>
          <w:szCs w:val="20"/>
          <w:highlight w:val="none"/>
        </w:rPr>
        <w:t>Declaração, nota fiscal ou proposta do fabricante/distribuidor comprovando preços, com garantia de fornecimento, dos principais insumos.</w:t>
      </w:r>
    </w:p>
    <w:p>
      <w:pPr>
        <w:rPr>
          <w:szCs w:val="20"/>
          <w:highlight w:val="none"/>
        </w:rPr>
      </w:pPr>
    </w:p>
    <w:p>
      <w:pPr>
        <w:pStyle w:val="4"/>
        <w:tabs>
          <w:tab w:val="left" w:pos="851"/>
        </w:tabs>
        <w:ind w:left="851" w:hanging="851"/>
        <w:rPr>
          <w:szCs w:val="20"/>
          <w:highlight w:val="none"/>
        </w:rPr>
      </w:pPr>
      <w:r>
        <w:rPr>
          <w:szCs w:val="20"/>
          <w:highlight w:val="none"/>
        </w:rPr>
        <w:t>Manter, durante toda a execução do contrato, todas as condições de habilitação e qualificação exigidas, em compatibilidade com as obrigações por ela assumidas e manter situação regular junto ao Cadastro Informativo de Créditos do Setor Público Federal – CADIN, conforme disposto no Artigo 6º da Lei nº 10.522, de 19 de julho de 2002.</w:t>
      </w:r>
    </w:p>
    <w:p>
      <w:pPr>
        <w:pStyle w:val="4"/>
        <w:numPr>
          <w:ilvl w:val="0"/>
          <w:numId w:val="0"/>
        </w:num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Manter em local visível no canteiro de obras cópias da Licença Ambiental e demais atos autorizativos dos órgãos ambientais e/ou de recursos hídricos, se houver, caso contrário, cópia da legislação de dispensa do referido documento.</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Garantir o atendimento integral das condicionantes contidas na Licença Ambiental da Obra, apresentando mensalmente à fiscalização, relatório descritivo e fotográfico</w:t>
      </w:r>
      <w:r>
        <w:rPr>
          <w:rFonts w:hint="default"/>
          <w:szCs w:val="20"/>
          <w:highlight w:val="none"/>
          <w:lang w:val="pt-BR"/>
        </w:rPr>
        <w:t xml:space="preserve"> específico</w:t>
      </w:r>
      <w:r>
        <w:rPr>
          <w:szCs w:val="20"/>
          <w:highlight w:val="none"/>
        </w:rPr>
        <w:t>, acompanhado de documentos comprobatórios.</w:t>
      </w:r>
    </w:p>
    <w:p>
      <w:pPr>
        <w:pStyle w:val="4"/>
        <w:numPr>
          <w:ilvl w:val="0"/>
          <w:numId w:val="0"/>
        </w:numPr>
        <w:tabs>
          <w:tab w:val="left" w:pos="851"/>
        </w:tabs>
        <w:ind w:left="851" w:hanging="851"/>
        <w:rPr>
          <w:szCs w:val="20"/>
          <w:highlight w:val="none"/>
        </w:rPr>
      </w:pPr>
    </w:p>
    <w:p>
      <w:pPr>
        <w:pStyle w:val="5"/>
        <w:ind w:left="784" w:hanging="784" w:hangingChars="392"/>
        <w:rPr>
          <w:highlight w:val="none"/>
        </w:rPr>
      </w:pPr>
      <w:r>
        <w:rPr>
          <w:highlight w:val="none"/>
        </w:rPr>
        <w:t>Ao final dos serviços as instalações do canteiro de obra deverão ser demolidas e as áreas devidamente recuperadas, conforme as recomendações básicas para proteção ambiental.</w:t>
      </w:r>
    </w:p>
    <w:p>
      <w:pPr>
        <w:tabs>
          <w:tab w:val="left" w:pos="851"/>
        </w:tabs>
        <w:ind w:left="784" w:hanging="784" w:hangingChars="392"/>
        <w:rPr>
          <w:szCs w:val="20"/>
          <w:highlight w:val="none"/>
        </w:rPr>
      </w:pPr>
    </w:p>
    <w:p>
      <w:pPr>
        <w:pStyle w:val="5"/>
        <w:ind w:left="784" w:hanging="784" w:hangingChars="392"/>
        <w:rPr>
          <w:highlight w:val="none"/>
        </w:rPr>
      </w:pPr>
      <w:r>
        <w:rPr>
          <w:highlight w:val="none"/>
        </w:rPr>
        <w:t>Realizar e executar o Plano de Recuperação Ambiental de Áreas Degradadas (PRAD) das áreas onde forem realizadas intervenções em função da obra.</w:t>
      </w:r>
    </w:p>
    <w:p>
      <w:pPr>
        <w:rPr>
          <w:highlight w:val="none"/>
        </w:rPr>
      </w:pPr>
    </w:p>
    <w:p>
      <w:pPr>
        <w:pStyle w:val="5"/>
        <w:ind w:left="784" w:hanging="784" w:hangingChars="392"/>
        <w:rPr>
          <w:highlight w:val="none"/>
        </w:rPr>
      </w:pPr>
      <w:r>
        <w:rPr>
          <w:highlight w:val="none"/>
        </w:rPr>
        <w:t>Preservar ao máximo a vegetação ciliar existente, o ambiente aquático e as características hidrodinâmicas do manancial, realizando, inclusive, serviço de engenharia com a finalidade de mitigar os desbarrancamentos no trecho de intervenção e recuperando as áreas de vegetação ciliar degradada, no entorno do trecho do rio onde serão executadas as obras.</w:t>
      </w:r>
    </w:p>
    <w:p>
      <w:pPr>
        <w:rPr>
          <w:highlight w:val="none"/>
        </w:rPr>
      </w:pPr>
    </w:p>
    <w:p>
      <w:pPr>
        <w:pStyle w:val="5"/>
        <w:bidi w:val="0"/>
        <w:rPr>
          <w:highlight w:val="none"/>
        </w:rPr>
      </w:pPr>
      <w:r>
        <w:rPr>
          <w:sz w:val="21"/>
          <w:highlight w:val="none"/>
          <w:lang w:val="pt-BR"/>
        </w:rPr>
        <w:t>Respeitar as Áreas de Preservação Permanente, conforme disposto no artigo 8º na Lei Federal nº 12.651, de 25 de maio de 2012</w:t>
      </w:r>
      <w:r>
        <w:rPr>
          <w:rFonts w:hint="default"/>
          <w:sz w:val="21"/>
          <w:highlight w:val="none"/>
          <w:lang w:val="pt-BR"/>
        </w:rPr>
        <w:t>.</w:t>
      </w:r>
    </w:p>
    <w:p>
      <w:pPr>
        <w:pStyle w:val="2"/>
        <w:numPr>
          <w:ilvl w:val="3"/>
          <w:numId w:val="1"/>
        </w:numPr>
        <w:bidi w:val="0"/>
        <w:ind w:left="1728" w:leftChars="0" w:hanging="648" w:firstLineChars="0"/>
        <w:rPr>
          <w:b w:val="0"/>
          <w:bCs/>
          <w:highlight w:val="none"/>
        </w:rPr>
      </w:pPr>
      <w:r>
        <w:rPr>
          <w:rFonts w:hint="default"/>
          <w:b w:val="0"/>
          <w:bCs/>
          <w:highlight w:val="none"/>
        </w:rPr>
        <w:t>Nos casos em que a intervenção não for passível de licença ambiental e houver intervenção em área de preservação permanente, declarar ao INEMA, por meio da Declaração de Intervenção em Área Protegida - DIAP, e recuperar as áreas de vegetação ciliar degradadas, no entorno do trecho do manancial onde serão executadas as obras.</w:t>
      </w:r>
    </w:p>
    <w:p>
      <w:pPr>
        <w:rPr>
          <w:highlight w:val="none"/>
        </w:rPr>
      </w:pPr>
    </w:p>
    <w:p>
      <w:pPr>
        <w:pStyle w:val="5"/>
        <w:ind w:left="784" w:hanging="784" w:hangingChars="392"/>
        <w:rPr>
          <w:highlight w:val="none"/>
        </w:rPr>
      </w:pPr>
      <w:r>
        <w:rPr>
          <w:highlight w:val="none"/>
        </w:rPr>
        <w:t>Elaborar e executar todos os programas e planos ambientais exigidos na Licença Ambiental da Obra.</w:t>
      </w:r>
    </w:p>
    <w:p>
      <w:pPr>
        <w:rPr>
          <w:szCs w:val="20"/>
          <w:highlight w:val="none"/>
        </w:rPr>
      </w:pPr>
    </w:p>
    <w:p>
      <w:pPr>
        <w:pStyle w:val="5"/>
        <w:ind w:left="784" w:hanging="784" w:hangingChars="392"/>
        <w:rPr>
          <w:highlight w:val="none"/>
        </w:rPr>
      </w:pPr>
      <w:r>
        <w:rPr>
          <w:highlight w:val="none"/>
        </w:rPr>
        <w:t>Somente utilizar material mineral proveniente de jazidas devidamente licenciadas junto ao órgão ambiental competente</w:t>
      </w:r>
      <w:r>
        <w:rPr>
          <w:rFonts w:hint="default"/>
          <w:highlight w:val="none"/>
          <w:lang w:val="pt-BR"/>
        </w:rPr>
        <w:t>, apresentando cópia da licença para a fiscalização</w:t>
      </w:r>
      <w:r>
        <w:rPr>
          <w:highlight w:val="none"/>
        </w:rPr>
        <w:t>.</w:t>
      </w:r>
    </w:p>
    <w:p>
      <w:pPr>
        <w:rPr>
          <w:szCs w:val="20"/>
          <w:highlight w:val="none"/>
        </w:rPr>
      </w:pPr>
    </w:p>
    <w:p>
      <w:pPr>
        <w:pStyle w:val="5"/>
        <w:ind w:left="784" w:hanging="784" w:hangingChars="392"/>
        <w:rPr>
          <w:highlight w:val="none"/>
        </w:rPr>
      </w:pPr>
      <w:r>
        <w:rPr>
          <w:highlight w:val="none"/>
        </w:rPr>
        <w:t>Não realizar supressão de vegetação nativa sem a devida a autorização concedida pelo órgão ambiental competente.</w:t>
      </w:r>
    </w:p>
    <w:p>
      <w:pPr>
        <w:rPr>
          <w:szCs w:val="20"/>
          <w:highlight w:val="none"/>
        </w:rPr>
      </w:pPr>
    </w:p>
    <w:p>
      <w:pPr>
        <w:pStyle w:val="5"/>
        <w:ind w:left="784" w:hanging="784" w:hangingChars="392"/>
        <w:rPr>
          <w:highlight w:val="none"/>
        </w:rPr>
      </w:pPr>
      <w:r>
        <w:rPr>
          <w:highlight w:val="none"/>
        </w:rPr>
        <w:t>Realizar o monitoramento e o controle de ruídos e material particulado emitidos.</w:t>
      </w:r>
    </w:p>
    <w:p>
      <w:pPr>
        <w:rPr>
          <w:szCs w:val="20"/>
          <w:highlight w:val="none"/>
        </w:rPr>
      </w:pPr>
    </w:p>
    <w:p>
      <w:pPr>
        <w:pStyle w:val="5"/>
        <w:ind w:left="784" w:hanging="784" w:hangingChars="392"/>
        <w:rPr>
          <w:highlight w:val="none"/>
        </w:rPr>
      </w:pPr>
      <w:r>
        <w:rPr>
          <w:highlight w:val="none"/>
        </w:rPr>
        <w:t>Implantar a adutora de água bruta de forma progressiva, recompondo de imediato as valas, de maneira que os solos escavados não fiquem expostos e o material excedente das escavações das valas seja retirado imediatamente, bem como providenciar o seu destino final adequado, impedindo o seu lançamento em rios e lagoas ou exposição da superfície do terreno.</w:t>
      </w:r>
    </w:p>
    <w:p>
      <w:pPr>
        <w:rPr>
          <w:szCs w:val="20"/>
          <w:highlight w:val="none"/>
        </w:rPr>
      </w:pPr>
    </w:p>
    <w:p>
      <w:pPr>
        <w:pStyle w:val="5"/>
        <w:ind w:left="784" w:hanging="784" w:hangingChars="392"/>
        <w:rPr>
          <w:highlight w:val="none"/>
        </w:rPr>
      </w:pPr>
      <w:r>
        <w:rPr>
          <w:highlight w:val="none"/>
        </w:rPr>
        <w:t>Cumprir o componente de Educação Ambiental, constante no Anexo I da Resolução CEPRAM nº 4.610/2018 e suas alterações, com base nas orientações do Documento Técnico Orientador (disponível no site do Inema), indicada para a categoria desse empreendimento.</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Apresentar-se sempre que solicitada, através do seu Responsável Técnico e/ou Coordenador dos trabalhos, nos escritórios da CONTRATANTE em Brasília/DF ou Superintendências Regionais.</w:t>
      </w:r>
    </w:p>
    <w:p>
      <w:pPr>
        <w:pStyle w:val="4"/>
        <w:numPr>
          <w:ilvl w:val="0"/>
          <w:numId w:val="0"/>
        </w:numPr>
        <w:rPr>
          <w:szCs w:val="20"/>
          <w:highlight w:val="none"/>
        </w:rPr>
      </w:pPr>
    </w:p>
    <w:p>
      <w:pPr>
        <w:pStyle w:val="4"/>
        <w:tabs>
          <w:tab w:val="left" w:pos="851"/>
        </w:tabs>
        <w:ind w:left="851" w:hanging="851"/>
        <w:rPr>
          <w:szCs w:val="20"/>
          <w:highlight w:val="none"/>
        </w:rPr>
      </w:pPr>
      <w:r>
        <w:rPr>
          <w:szCs w:val="20"/>
          <w:highlight w:val="none"/>
        </w:rPr>
        <w:t>Instalar e manter, sem ônus para a Codevasf, no canteiro de obras, um escritório e os meios necessários à execução da fiscalização e medição dos serviços por parte da Codevasf, para uso exclusivo da Fiscalização da Codevasf, incluindo banheiro, sala de reuniões, com mobiliário completo incluindo: mesa, cadeiras, armários, ar condicionado, telefone, 01 computador desktop e 01 notebook com periféricos, hardware atual e software adequado ao acompanhamento da obra (MS Project, Office e Autocad), administração de escritório e comunicação, Internet, 01 câmera fotográfica digital (resolução mínima de 13.0 megapixel com cartão de memória de 4Gb), materiais de escritório necessários à operação dos equipamentos e desempenho das atividades pelo período correspondente ao da execução dos serviços, sendo que ao final das obras todos os materiais não utilizados e equipamentos serão devolvidos à CONTRATADA.</w:t>
      </w:r>
      <w:r>
        <w:rPr>
          <w:szCs w:val="20"/>
          <w:highlight w:val="none"/>
        </w:rPr>
        <w:cr/>
      </w:r>
    </w:p>
    <w:p>
      <w:pPr>
        <w:pStyle w:val="4"/>
        <w:tabs>
          <w:tab w:val="left" w:pos="851"/>
        </w:tabs>
        <w:ind w:left="851" w:hanging="851"/>
        <w:rPr>
          <w:szCs w:val="20"/>
          <w:highlight w:val="none"/>
        </w:rPr>
      </w:pPr>
      <w:r>
        <w:rPr>
          <w:szCs w:val="20"/>
          <w:highlight w:val="none"/>
        </w:rPr>
        <w:t>Disponibilizar para a equipe da Fiscalização da Codevasf, com vistas ao atendimento das necessidades da obra, os equipamentos para laboratório de controle tecnológico de concreto e aterros, inclusive manutenção e pessoal de apoio para controle de qualidade dos materiais e serviços objetos deste Termo, os quais serão devolvidos à CONTRATADA ao final da execução das obras e serviços de engenharia.</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Todas as despesas para a realização dos serviços de controle tecnológico e medições, tais como os equipamentos de topografia, dos laboratórios de controle tecnológico de geotecnia e concreto, inclusive manutenção e pessoal de apoio e execução, deverão estar contempladas na proposta no preço estabelecido para a administração local, instalação e manutenção do canteiro de obras, sendo que ao final das obras todos equipamentos serão devolvidos à CONTRATADA.</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Submeter à aprovação da fiscalização os protótipos ou amostras dos materiais e equipamentos a serem aplicados nas obras e serviços de engenharia objeto do contrato, inclusive os traços dos concretos a serem utilizados.</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Salvo disposições em contrário que constem do termo de contrato, os ensaios, testes, exames e provas exigidos por normas técnicas oficiais para a boa execução do objeto correrão por conta da CONTRATADA e, para garantir a qualidade da obra, deverão ser realizados em laboratórios aprovados pela fiscalização.</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Disponibilizar para a equipe de Fiscalização da Codevasf 01 (um) veículo, em estado novo, de no máximo dois anos de uso ou 50.000km, de cor preferencialmente branca, com os dizeres conforme especificação da Codevasf, incluindo despesas operacionais, motoristas, combustível, manutenção e seguro, por período correspondente ao período da obra mais 30(trinta) dias, sendo que os custos das despesas deverão ser previstos na planilha.</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Assumir a inteira responsabilidade pelo transporte interno e externo do pessoal e dos insumos até o local dos serviços e fornecimentos.</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Utilização de pessoal experiente, bem como de equipamentos, ferramentas e instrumentos adequados para a boa execução das obras e serviços de engenharia.</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Responsabilizar-se por todos e quaisquer danos causados às estruturas, construções, instalações elétricas, cercas, equipamentos, etc., existentes no local ou decorrentes da execução do objeto desta licitação, bem como pelos danos</w:t>
      </w:r>
      <w:r>
        <w:rPr>
          <w:rFonts w:hint="default"/>
          <w:szCs w:val="20"/>
          <w:highlight w:val="none"/>
          <w:lang w:val="pt-BR"/>
        </w:rPr>
        <w:t xml:space="preserve"> </w:t>
      </w:r>
      <w:r>
        <w:rPr>
          <w:szCs w:val="20"/>
          <w:highlight w:val="none"/>
        </w:rPr>
        <w:t>que vier causar à Codevasf e a terceiros.</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Exercer a vigilância e proteção de todos os materiais e equipamentos no local das</w:t>
      </w:r>
      <w:r>
        <w:rPr>
          <w:rFonts w:hint="default"/>
          <w:szCs w:val="20"/>
          <w:highlight w:val="none"/>
          <w:lang w:val="pt-BR"/>
        </w:rPr>
        <w:t xml:space="preserve"> </w:t>
      </w:r>
      <w:r>
        <w:rPr>
          <w:szCs w:val="20"/>
          <w:highlight w:val="none"/>
        </w:rPr>
        <w:t>obras, inclusive dos barracões e instalações.</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Colocar tantas frentes de serviços quantos forem necessários (mediante anuência prévia da fiscalização), para possibilitar a perfeita execução das obras e serviços de engenharia dentro do prazo contratual.</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Responsabilizar-se pelo fornecimento de toda a mão-de-obra, sem qualquer vinculação empregatícia com a Codevasf, bem como todo o material necessário à execução dos serviços objeto do contrato.</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Responsabilizar-se por todos os ônus e obrigações concernentes à legislação tributária, trabalhista, securitária, previdenciária, e quaisquer encargos que incidam sobre os materiais e equipamentos, os quais, exclusivamente, correrão por sua conta, inclusive o registro do serviço contratado junto ao CREA do local de execução das obras e serviços de engenharia.</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Todos os acessos necessários para permitir à chegada dos equipamentos e materiais no local de execução dos serviços deverão ser previstos, avaliando-se todas as suas dificuldades, pois os custos decorrentes de qualquer serviço para melhoria destes acessos correrão por conta da CONTRATADA.</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A CONTRATADA deverá manter um Preposto, aceito pela Codevasf, no local do serviço, para representá-la na execução do objeto contratado.</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A CONTRATADA deve assegurar e facilitar o acesso da Fiscalização, aos serviços e a todos os elementos que forem necessários ao desempenho de sua missão.</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Responsabilizar-se, desde o início dos serviços até o encerramento do contrato, pelo pagamento integral das despesas do canteiro referentes a água, energia, telefone, taxas, impostos e quaisquer outros tributos que venham a ser cobrados.</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No momento da desmobilização, para liberação da última fatura, faz-se necessária a apresentação da certidão de quitação de débitos, referente às despesas com água, energia, telefone, taxas, impostos e quaisquer outros tributos que venham a ser cobrados.</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Promover a substituição dos profissionais integrantes da equipe técnica somente quando caracterizada a superveniência das situações de caso fortuito ou força maior, sendo que a substituição deverá ser feita por profissional de perfil técnico equivalente ou superior e mediante prévia autorização da Codevasf.</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A CONTRATADA deverá conceder livre acesso aos seus documentos e registros contábeis, referentes ao objeto da licitação, para os servidores ou empregados do órgão ou entidade CONTRATANTE e dos órgãos de controle interno e externo.</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A CONTRATADA deverá comunicar à Fiscalização toda a mobilização de pessoal e equipamentos, quando da chegada à obra, a qual deverá ser devidamente anotada no Diário de Obras, para acompanhamento e controle da Codevasf.</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Caso a CONTRATADA seja registrada em região diferente daquela em que serão executados os serviços objeto deste TR, deverá apresentar visto, novo registro ou dispensa de registro, em conformidade com disposto nos arts. 5º, 6º e 7º da Resolução CONFEA nº 336 de 27 de outubro de 1989.</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A CONTRATADA e a equipe técnica ambiental deverão apresentar o certificado do registro no Cadastro Técnico Federal de Instrumentos de Defesa Ambiental, mantido pelo IBAMA, de acordo com a Resolução CONAMA nº. 01 de 13 de junho de 1988 e IN-IBAMA nº. 10, de 17 de agosto de 2001.</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A CONTRATADA será responsável por quaisquer acidentes de trabalho referentes a seu pessoal que venham a ocorrer por conta do serviço contratado e/ou por ela causado a terceiros.</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Caberá à CONTRATADA obter e arcar com os gastos de todas as licenças e franquias, pagar encargos sociais e impostos municipais, estaduais e federais que incidirem sobre a execução dos serviços.</w:t>
      </w:r>
    </w:p>
    <w:p>
      <w:pPr>
        <w:rPr>
          <w:szCs w:val="20"/>
          <w:highlight w:val="none"/>
        </w:rPr>
      </w:pPr>
    </w:p>
    <w:p>
      <w:pPr>
        <w:pStyle w:val="4"/>
        <w:ind w:left="851" w:hanging="851"/>
        <w:rPr>
          <w:szCs w:val="20"/>
          <w:highlight w:val="none"/>
        </w:rPr>
      </w:pPr>
      <w:r>
        <w:rPr>
          <w:szCs w:val="20"/>
          <w:highlight w:val="none"/>
        </w:rPr>
        <w:t>O cronograma de implantação deverá ser atualizado antes do início efetivo das obras e serviços de engenharia, em função do planejamento previsto pela CONTRATADA e dos fornecimentos de responsabilidade da Codevasf, e atualizado/revisado periodicamente conforme solicitação da fiscalização.</w:t>
      </w:r>
    </w:p>
    <w:p>
      <w:pPr>
        <w:rPr>
          <w:szCs w:val="20"/>
          <w:highlight w:val="none"/>
        </w:rPr>
      </w:pPr>
    </w:p>
    <w:p>
      <w:pPr>
        <w:pStyle w:val="4"/>
        <w:ind w:left="851" w:hanging="851"/>
        <w:rPr>
          <w:szCs w:val="20"/>
          <w:highlight w:val="none"/>
        </w:rPr>
      </w:pPr>
      <w:r>
        <w:rPr>
          <w:szCs w:val="20"/>
          <w:highlight w:val="none"/>
        </w:rPr>
        <w:t>Durante a execução dos serviços e obras, caberá à CONTRATADA as seguintes medidas:</w:t>
      </w:r>
    </w:p>
    <w:p>
      <w:pPr>
        <w:pStyle w:val="4"/>
        <w:numPr>
          <w:ilvl w:val="0"/>
          <w:numId w:val="0"/>
        </w:numPr>
        <w:rPr>
          <w:szCs w:val="20"/>
          <w:highlight w:val="none"/>
        </w:rPr>
      </w:pPr>
    </w:p>
    <w:p>
      <w:pPr>
        <w:pStyle w:val="4"/>
        <w:numPr>
          <w:ilvl w:val="0"/>
          <w:numId w:val="36"/>
        </w:numPr>
        <w:ind w:left="1531" w:hanging="397"/>
        <w:rPr>
          <w:szCs w:val="20"/>
          <w:highlight w:val="none"/>
        </w:rPr>
      </w:pPr>
      <w:r>
        <w:rPr>
          <w:szCs w:val="20"/>
          <w:highlight w:val="none"/>
        </w:rPr>
        <w:t>Instalar e manter no canteiro de obras 01 (uma) placa de identificação da obra, com as seguintes informações: nome da empresa (contratada), RT pela obra com a respectiva ART, nº do Contrato e contratante (Codevasf), conforme Lei nº 5.194/1966 e Resolução CONFEA nº 198/1971.</w:t>
      </w:r>
    </w:p>
    <w:p>
      <w:pPr>
        <w:ind w:left="850"/>
        <w:rPr>
          <w:szCs w:val="20"/>
          <w:highlight w:val="none"/>
        </w:rPr>
      </w:pPr>
    </w:p>
    <w:p>
      <w:pPr>
        <w:pStyle w:val="4"/>
        <w:numPr>
          <w:ilvl w:val="0"/>
          <w:numId w:val="37"/>
        </w:numPr>
        <w:ind w:left="1814" w:hanging="397"/>
        <w:rPr>
          <w:szCs w:val="20"/>
          <w:highlight w:val="none"/>
        </w:rPr>
      </w:pPr>
      <w:r>
        <w:rPr>
          <w:szCs w:val="20"/>
          <w:highlight w:val="none"/>
        </w:rPr>
        <w:t>A placa de identificação das obras e serviços deve ser no padrão definido pela Codevasf e em local por ela indicado, cujo modelo encontra-se na publicação “Instruções para a Preparação de Placas de Obras Públicas”, anexas aos TR, independente das exigidas pelos órgãos de fiscalização de classe –</w:t>
      </w:r>
      <w:r>
        <w:rPr>
          <w:szCs w:val="20"/>
          <w:highlight w:val="none"/>
        </w:rPr>
        <w:fldChar w:fldCharType="begin"/>
      </w:r>
      <w:r>
        <w:rPr>
          <w:szCs w:val="20"/>
          <w:highlight w:val="none"/>
        </w:rPr>
        <w:instrText xml:space="preserve"> REF _Ref78987734 \h </w:instrText>
      </w:r>
      <w:r>
        <w:rPr>
          <w:szCs w:val="20"/>
          <w:highlight w:val="none"/>
        </w:rPr>
        <w:fldChar w:fldCharType="separate"/>
      </w:r>
      <w:r>
        <w:rPr>
          <w:szCs w:val="20"/>
          <w:highlight w:val="none"/>
        </w:rPr>
        <w:t>Anexo VI</w:t>
      </w:r>
      <w:r>
        <w:rPr>
          <w:szCs w:val="20"/>
          <w:highlight w:val="none"/>
        </w:rPr>
        <w:fldChar w:fldCharType="end"/>
      </w:r>
      <w:r>
        <w:rPr>
          <w:szCs w:val="20"/>
          <w:highlight w:val="none"/>
        </w:rPr>
        <w:t>.</w:t>
      </w:r>
    </w:p>
    <w:p>
      <w:pPr>
        <w:pStyle w:val="4"/>
        <w:numPr>
          <w:ilvl w:val="0"/>
          <w:numId w:val="0"/>
        </w:numPr>
        <w:ind w:left="850"/>
        <w:rPr>
          <w:szCs w:val="20"/>
          <w:highlight w:val="none"/>
        </w:rPr>
      </w:pPr>
    </w:p>
    <w:p>
      <w:pPr>
        <w:pStyle w:val="4"/>
        <w:numPr>
          <w:ilvl w:val="0"/>
          <w:numId w:val="36"/>
        </w:numPr>
        <w:ind w:left="1531" w:hanging="397"/>
        <w:rPr>
          <w:szCs w:val="20"/>
          <w:highlight w:val="none"/>
        </w:rPr>
      </w:pPr>
      <w:r>
        <w:rPr>
          <w:szCs w:val="20"/>
          <w:highlight w:val="none"/>
        </w:rPr>
        <w:t>Obter junto à Prefeitura Municipal correspondente o alvará de construção e, se necessário, o alvará de demolição, na forma das disposições em vigor.</w:t>
      </w:r>
    </w:p>
    <w:p>
      <w:pPr>
        <w:pStyle w:val="4"/>
        <w:numPr>
          <w:ilvl w:val="0"/>
          <w:numId w:val="36"/>
        </w:numPr>
        <w:ind w:left="1531" w:hanging="397"/>
        <w:rPr>
          <w:szCs w:val="20"/>
          <w:highlight w:val="none"/>
        </w:rPr>
      </w:pPr>
      <w:r>
        <w:rPr>
          <w:szCs w:val="20"/>
          <w:highlight w:val="none"/>
        </w:rPr>
        <w:t>Manter no local dasobras e serviços de engenharia um Diário de Ocorrências, no qual serão feitas anotações diárias referentes ao andamento dos serviços, qualidade dos materiais, mão-de-obra, etc., como também, reclamações, advertências e principalmente problemas de ordem técnica que requeiram solução por uma das partes. Este diário, devidamente rubricado pela Fiscalização e pela CONTRATADA em todas as vias, ficará em poder da Contratante após a conclusão das obras e serviços de engenharia.</w:t>
      </w:r>
    </w:p>
    <w:p>
      <w:pPr>
        <w:pStyle w:val="4"/>
        <w:numPr>
          <w:ilvl w:val="0"/>
          <w:numId w:val="36"/>
        </w:numPr>
        <w:ind w:left="1531" w:hanging="397"/>
        <w:rPr>
          <w:szCs w:val="20"/>
          <w:highlight w:val="none"/>
        </w:rPr>
      </w:pPr>
      <w:r>
        <w:rPr>
          <w:szCs w:val="20"/>
          <w:highlight w:val="none"/>
        </w:rPr>
        <w:t>Obedecer às normas de higiene e prevenção de acidentes, a fim de garantir a salubridade e a segurança nos acampamentos e nos canteiros de serviços.</w:t>
      </w:r>
    </w:p>
    <w:p>
      <w:pPr>
        <w:pStyle w:val="4"/>
        <w:numPr>
          <w:ilvl w:val="0"/>
          <w:numId w:val="36"/>
        </w:numPr>
        <w:ind w:left="1531" w:hanging="397"/>
        <w:rPr>
          <w:szCs w:val="20"/>
          <w:highlight w:val="none"/>
        </w:rPr>
      </w:pPr>
      <w:r>
        <w:rPr>
          <w:szCs w:val="20"/>
          <w:highlight w:val="none"/>
        </w:rPr>
        <w:t>Responder financeiramente, sem prejuízo de medidas outras que possam ser adotadas por quaisquer danos causados à União, Estado, Município ou terceiros, em razão da execução das obras e serviços de engenharia.</w:t>
      </w:r>
    </w:p>
    <w:p>
      <w:pPr>
        <w:pStyle w:val="4"/>
        <w:numPr>
          <w:ilvl w:val="0"/>
          <w:numId w:val="36"/>
        </w:numPr>
        <w:ind w:left="1531" w:hanging="397"/>
        <w:rPr>
          <w:szCs w:val="20"/>
          <w:highlight w:val="none"/>
        </w:rPr>
      </w:pPr>
      <w:r>
        <w:rPr>
          <w:szCs w:val="20"/>
          <w:highlight w:val="none"/>
        </w:rPr>
        <w:t>Fazer com que os componentes da equipe de mão-de-obra operacional (operários) exerçam as suas atividades, devidamente uniformizados, em padrão único (farda) e fazendo uso dos equipamentos de segurança requeridos para as atividades desenvolvidas, em observância à legislação pertinente.</w:t>
      </w:r>
    </w:p>
    <w:p>
      <w:pPr>
        <w:pStyle w:val="4"/>
        <w:numPr>
          <w:ilvl w:val="0"/>
          <w:numId w:val="36"/>
        </w:numPr>
        <w:ind w:left="1531" w:hanging="397"/>
        <w:rPr>
          <w:szCs w:val="20"/>
          <w:highlight w:val="none"/>
        </w:rPr>
      </w:pPr>
      <w:r>
        <w:rPr>
          <w:szCs w:val="20"/>
          <w:highlight w:val="none"/>
        </w:rPr>
        <w:t>Manter no local das obras e serviços de engenharia uma pasta com todos os documentos previstos e necessários para execução do objeto (ART’s, licenças ambientais, projeto básico, alvarás, etc).</w:t>
      </w:r>
    </w:p>
    <w:p>
      <w:pPr>
        <w:rPr>
          <w:highlight w:val="none"/>
          <w:lang w:eastAsia="pt-BR"/>
        </w:rPr>
      </w:pPr>
    </w:p>
    <w:p>
      <w:pPr>
        <w:pStyle w:val="4"/>
        <w:ind w:left="851" w:hanging="851"/>
        <w:rPr>
          <w:szCs w:val="20"/>
          <w:highlight w:val="none"/>
        </w:rPr>
      </w:pPr>
      <w:r>
        <w:rPr>
          <w:szCs w:val="20"/>
          <w:highlight w:val="none"/>
        </w:rPr>
        <w:t>A contratada deverá investir em medidas de promoção da ética e de prevenção da corrupção que contribuam para um ambiente mais íntegro, ético e transparente no setor privado e em suas relações como o setor público, comprometendo-se a atuar contrariamente a quaisquer manifestações de corrupção, atuando junto a seus fornecedores e parceiros privados a também conhecer e cumprir as previsões da Lei nº 12.846/2013 e do Decreto nº 8.420/15, abstendo-se, ainda, de cometer atos tendentes a lesar a Administração Pública, denunciando a prática de irregularidades que tiver conhecimento por meios dos canais de denúncias disponíveis.</w:t>
      </w:r>
    </w:p>
    <w:p>
      <w:pPr>
        <w:ind w:left="851" w:hanging="851"/>
        <w:rPr>
          <w:szCs w:val="20"/>
          <w:highlight w:val="none"/>
        </w:rPr>
      </w:pPr>
    </w:p>
    <w:p>
      <w:pPr>
        <w:pStyle w:val="4"/>
        <w:ind w:left="851" w:hanging="851"/>
        <w:rPr>
          <w:szCs w:val="20"/>
          <w:highlight w:val="none"/>
        </w:rPr>
      </w:pPr>
      <w:r>
        <w:rPr>
          <w:szCs w:val="20"/>
          <w:highlight w:val="none"/>
        </w:rPr>
        <w:t>A CONTRATADA entende e aceita que é condicionante para na execução das obras e serviços de engenharia objeto da presente licitação atender ainda às seguintes normas complementares:</w:t>
      </w:r>
    </w:p>
    <w:p>
      <w:pPr>
        <w:ind w:left="851" w:hanging="851"/>
        <w:rPr>
          <w:szCs w:val="20"/>
          <w:highlight w:val="none"/>
        </w:rPr>
      </w:pPr>
    </w:p>
    <w:p>
      <w:pPr>
        <w:pStyle w:val="3"/>
        <w:numPr>
          <w:ilvl w:val="0"/>
          <w:numId w:val="38"/>
        </w:numPr>
        <w:ind w:left="1276" w:hanging="425"/>
        <w:rPr>
          <w:szCs w:val="20"/>
          <w:highlight w:val="none"/>
        </w:rPr>
      </w:pPr>
      <w:r>
        <w:rPr>
          <w:szCs w:val="20"/>
          <w:highlight w:val="none"/>
        </w:rPr>
        <w:t>Códigos, leis, decretos, portarias e normas federais, estaduais e municipais, inclusive normas de concessionárias de serviços públicos, e as normas técnicas da Codevasf.</w:t>
      </w:r>
    </w:p>
    <w:p>
      <w:pPr>
        <w:pStyle w:val="3"/>
        <w:numPr>
          <w:ilvl w:val="0"/>
          <w:numId w:val="38"/>
        </w:numPr>
        <w:ind w:left="1276" w:hanging="425"/>
        <w:rPr>
          <w:szCs w:val="20"/>
          <w:highlight w:val="none"/>
        </w:rPr>
      </w:pPr>
      <w:r>
        <w:rPr>
          <w:szCs w:val="20"/>
          <w:highlight w:val="none"/>
        </w:rPr>
        <w:t>Normas técnicas da ABNT e do INMETRO, principalmente no que diz respeito aos requisitos mínimos de qualidade, utilidade, resistência e segurança.</w:t>
      </w:r>
    </w:p>
    <w:p>
      <w:pPr>
        <w:rPr>
          <w:szCs w:val="20"/>
          <w:highlight w:val="none"/>
        </w:rPr>
      </w:pPr>
    </w:p>
    <w:p>
      <w:pPr>
        <w:rPr>
          <w:szCs w:val="20"/>
          <w:highlight w:val="none"/>
        </w:rPr>
      </w:pPr>
    </w:p>
    <w:p>
      <w:pPr>
        <w:rPr>
          <w:szCs w:val="20"/>
          <w:highlight w:val="none"/>
        </w:rPr>
      </w:pPr>
    </w:p>
    <w:p>
      <w:pPr>
        <w:pStyle w:val="2"/>
        <w:tabs>
          <w:tab w:val="left" w:pos="851"/>
        </w:tabs>
        <w:ind w:left="851" w:hanging="851"/>
        <w:rPr>
          <w:szCs w:val="20"/>
          <w:highlight w:val="none"/>
        </w:rPr>
      </w:pPr>
      <w:bookmarkStart w:id="44" w:name="_Toc16259"/>
      <w:r>
        <w:rPr>
          <w:szCs w:val="20"/>
          <w:highlight w:val="none"/>
        </w:rPr>
        <w:t>OBRIGAÇÕES DA CODEVASF</w:t>
      </w:r>
      <w:bookmarkEnd w:id="44"/>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Exigir da CONTRATADA o cumprimento integral deste Contrato.</w:t>
      </w:r>
    </w:p>
    <w:p>
      <w:pPr>
        <w:pStyle w:val="4"/>
        <w:numPr>
          <w:ilvl w:val="0"/>
          <w:numId w:val="0"/>
        </w:num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Esclarecer as dúvidas que lhe sejam apresentadas pela CONTRATADA, através de correspondências protocoladas.</w:t>
      </w:r>
    </w:p>
    <w:p>
      <w:pPr>
        <w:pStyle w:val="4"/>
        <w:numPr>
          <w:ilvl w:val="0"/>
          <w:numId w:val="0"/>
        </w:num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Fiscalizar e acompanhar a execução do objeto do contrato.</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Expedir por escrito, as determinações e comunicações dirigidas a CONTRATADA, determinando as providências necessárias à correção das falhas observadas.</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Rejeitar todo e qualquer serviço inadequado, incompleto ou não especificado e estipular prazo para sua retificação.</w:t>
      </w:r>
    </w:p>
    <w:p>
      <w:pPr>
        <w:pStyle w:val="4"/>
        <w:numPr>
          <w:ilvl w:val="0"/>
          <w:numId w:val="0"/>
        </w:num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Emitir parecer para liberação das faturas, e receber as obras e serviços contratados.</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Efetuar o pagamento no prazo previsto no contrato.</w:t>
      </w:r>
    </w:p>
    <w:p>
      <w:pPr>
        <w:tabs>
          <w:tab w:val="left" w:pos="851"/>
        </w:tabs>
        <w:ind w:left="851" w:hanging="851"/>
        <w:rPr>
          <w:szCs w:val="20"/>
          <w:highlight w:val="none"/>
        </w:rPr>
      </w:pPr>
    </w:p>
    <w:p>
      <w:pPr>
        <w:tabs>
          <w:tab w:val="left" w:pos="851"/>
        </w:tabs>
        <w:ind w:left="851" w:hanging="851"/>
        <w:rPr>
          <w:szCs w:val="20"/>
          <w:highlight w:val="none"/>
        </w:rPr>
      </w:pPr>
    </w:p>
    <w:p>
      <w:pPr>
        <w:pStyle w:val="2"/>
        <w:tabs>
          <w:tab w:val="left" w:pos="851"/>
        </w:tabs>
        <w:ind w:left="851" w:hanging="851"/>
        <w:rPr>
          <w:szCs w:val="20"/>
          <w:highlight w:val="none"/>
        </w:rPr>
      </w:pPr>
      <w:bookmarkStart w:id="45" w:name="_Toc1196"/>
      <w:r>
        <w:rPr>
          <w:szCs w:val="20"/>
          <w:highlight w:val="none"/>
        </w:rPr>
        <w:t>MATRIZ DE RISCO</w:t>
      </w:r>
      <w:bookmarkEnd w:id="45"/>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 xml:space="preserve">A matriz de risco está apresentada no </w:t>
      </w:r>
      <w:r>
        <w:rPr>
          <w:highlight w:val="none"/>
        </w:rPr>
        <w:fldChar w:fldCharType="begin"/>
      </w:r>
      <w:r>
        <w:rPr>
          <w:highlight w:val="none"/>
        </w:rPr>
        <w:instrText xml:space="preserve"> REF _Ref73033035 \h  \* MERGEFORMAT </w:instrText>
      </w:r>
      <w:r>
        <w:rPr>
          <w:highlight w:val="none"/>
        </w:rPr>
        <w:fldChar w:fldCharType="separate"/>
      </w:r>
      <w:r>
        <w:rPr>
          <w:szCs w:val="20"/>
          <w:highlight w:val="none"/>
        </w:rPr>
        <w:t>Anexo VII</w:t>
      </w:r>
      <w:r>
        <w:rPr>
          <w:szCs w:val="20"/>
          <w:highlight w:val="none"/>
        </w:rPr>
        <w:fldChar w:fldCharType="end"/>
      </w:r>
      <w:r>
        <w:rPr>
          <w:szCs w:val="20"/>
          <w:highlight w:val="none"/>
        </w:rPr>
        <w:t xml:space="preserve"> deste Termo de Referência com o objetivo de definir as áreas a que está exposta à execução do objeto, advindas de eventos supervenientes à contratação, dado relevante para sua identificação, prevenção e respectivas responsabilidades pela eventual ocorrência, bem como para o dimensionamento das propostas pelas licitantes.</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A contratada não é responsável pelos riscos relacionados ao objeto do ajuste cuja responsabilidade na Matriz de Risco é da Codevasf.</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A contratada é integral e exclusivamente responsável por todos os riscos relacionados ao objeto do ajuste, inclusive, sem limitação, daqueles alocados para a contratada.</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Constitui peça integrante do contrato a matriz de riscos, independentemente de transcrição no instrumento.</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A contratada tem pleno conhecimento, quando da participação do processo licitatório, da natureza e extensão dos riscos por ela assumidos e garante ter levado tais riscos em consideração na formulação de sua proposta.</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O termo risco no contrato é designado como um evento ou uma condição incerta que, se ocorrer, tem um efeito em pelo menos um objetivo do objeto contratual. O risco é o resultado da combinação entre probabilidade de ocorrência de determinado evento futuro e o impacto resultante caso ele ocorra. Esse conceito pode ser ainda mais específico ao se classificar o risco como a probabilidade de ocorrência de um determinado evento que gere impactos econômicos positivos ou negativos, bem como no prazo de execução do contrato.</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Sempre que atendidas as condições do contrato e mantidas as disposições do contrato e as disposições da matriz de risco, considera-se mantido seu equilíbrio econômico-financeiro.</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A Contratada somente poderá solicitar a recomposição do equilíbrio econômico-financeiro ou aditivo de prazo nas hipóteses excluídas de sua responsabilidade na matriz de risco.</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Os casos omissos na matriz de risco serão objeto de análise acurada e criteriosa, lastreada em elementos técnicos, por intermédio de processo administrativo para apurar o caso concreto.</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A referida matriz de risco é parte integrante do contrato, pois tais obrigações são de resultado e devidamente delimitadas neste TR.</w:t>
      </w:r>
    </w:p>
    <w:p>
      <w:pPr>
        <w:tabs>
          <w:tab w:val="left" w:pos="851"/>
        </w:tabs>
        <w:ind w:left="851" w:hanging="851"/>
        <w:rPr>
          <w:szCs w:val="20"/>
          <w:highlight w:val="none"/>
        </w:rPr>
      </w:pPr>
    </w:p>
    <w:p>
      <w:pPr>
        <w:tabs>
          <w:tab w:val="left" w:pos="851"/>
        </w:tabs>
        <w:ind w:left="851" w:hanging="851"/>
        <w:rPr>
          <w:szCs w:val="20"/>
          <w:highlight w:val="none"/>
        </w:rPr>
      </w:pPr>
    </w:p>
    <w:p>
      <w:pPr>
        <w:tabs>
          <w:tab w:val="left" w:pos="851"/>
        </w:tabs>
        <w:ind w:left="851" w:hanging="851"/>
        <w:rPr>
          <w:szCs w:val="20"/>
          <w:highlight w:val="none"/>
        </w:rPr>
      </w:pPr>
    </w:p>
    <w:p>
      <w:pPr>
        <w:pStyle w:val="2"/>
        <w:tabs>
          <w:tab w:val="left" w:pos="851"/>
        </w:tabs>
        <w:ind w:left="851" w:hanging="851"/>
        <w:rPr>
          <w:szCs w:val="20"/>
          <w:highlight w:val="none"/>
        </w:rPr>
      </w:pPr>
      <w:bookmarkStart w:id="46" w:name="_Toc14599"/>
      <w:r>
        <w:rPr>
          <w:szCs w:val="20"/>
          <w:highlight w:val="none"/>
        </w:rPr>
        <w:t>CONDIÇÕES GERAIS</w:t>
      </w:r>
      <w:bookmarkEnd w:id="46"/>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O resultado do fornecimento e execução dos serviços objeto do certame licitatório, incluindo os desenhos originais, as memórias de cálculo, as informações obtidas e os métodos desenvolvidos no contexto das obras, serão de propriedade da Codevasf, e seu uso por terceiros só se realizará por expressa autorização desta.</w:t>
      </w:r>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 xml:space="preserve">Este Termo de Referência e seus anexos </w:t>
      </w:r>
      <w:r>
        <w:rPr>
          <w:rFonts w:hint="default"/>
          <w:szCs w:val="20"/>
          <w:highlight w:val="none"/>
          <w:lang w:val="pt-BR"/>
        </w:rPr>
        <w:t xml:space="preserve">serão </w:t>
      </w:r>
      <w:r>
        <w:rPr>
          <w:szCs w:val="20"/>
          <w:highlight w:val="none"/>
        </w:rPr>
        <w:t>parte integrante do contrato a ser firmado com a CONTRATADA, independente de transcrições.</w:t>
      </w:r>
    </w:p>
    <w:p>
      <w:pPr>
        <w:tabs>
          <w:tab w:val="left" w:pos="851"/>
        </w:tabs>
        <w:ind w:left="851" w:hanging="851"/>
        <w:rPr>
          <w:szCs w:val="20"/>
          <w:highlight w:val="none"/>
        </w:rPr>
      </w:pPr>
    </w:p>
    <w:p>
      <w:pPr>
        <w:tabs>
          <w:tab w:val="left" w:pos="851"/>
        </w:tabs>
        <w:ind w:left="851" w:hanging="851"/>
        <w:rPr>
          <w:szCs w:val="20"/>
          <w:highlight w:val="none"/>
        </w:rPr>
      </w:pPr>
    </w:p>
    <w:p>
      <w:pPr>
        <w:tabs>
          <w:tab w:val="left" w:pos="851"/>
        </w:tabs>
        <w:ind w:left="851" w:hanging="851"/>
        <w:rPr>
          <w:szCs w:val="20"/>
          <w:highlight w:val="none"/>
        </w:rPr>
      </w:pPr>
    </w:p>
    <w:p>
      <w:pPr>
        <w:pStyle w:val="2"/>
        <w:tabs>
          <w:tab w:val="left" w:pos="851"/>
        </w:tabs>
        <w:ind w:left="851" w:hanging="851"/>
        <w:rPr>
          <w:szCs w:val="20"/>
          <w:highlight w:val="none"/>
        </w:rPr>
      </w:pPr>
      <w:bookmarkStart w:id="47" w:name="_Ref441139391"/>
      <w:bookmarkStart w:id="48" w:name="_Toc13350"/>
      <w:r>
        <w:rPr>
          <w:szCs w:val="20"/>
          <w:highlight w:val="none"/>
        </w:rPr>
        <w:t>ANEXOS</w:t>
      </w:r>
      <w:bookmarkEnd w:id="47"/>
      <w:bookmarkEnd w:id="48"/>
    </w:p>
    <w:p>
      <w:pPr>
        <w:tabs>
          <w:tab w:val="left" w:pos="851"/>
        </w:tabs>
        <w:ind w:left="851" w:hanging="851"/>
        <w:rPr>
          <w:szCs w:val="20"/>
          <w:highlight w:val="none"/>
        </w:rPr>
      </w:pPr>
    </w:p>
    <w:p>
      <w:pPr>
        <w:pStyle w:val="4"/>
        <w:tabs>
          <w:tab w:val="left" w:pos="851"/>
        </w:tabs>
        <w:ind w:left="851" w:hanging="851"/>
        <w:rPr>
          <w:szCs w:val="20"/>
          <w:highlight w:val="none"/>
        </w:rPr>
      </w:pPr>
      <w:r>
        <w:rPr>
          <w:szCs w:val="20"/>
          <w:highlight w:val="none"/>
        </w:rPr>
        <w:t>São ainda, documentos integrantes deste Termo de Referência:</w:t>
      </w:r>
    </w:p>
    <w:p>
      <w:pPr>
        <w:rPr>
          <w:highlight w:val="none"/>
          <w:lang w:eastAsia="pt-BR"/>
        </w:rPr>
      </w:pPr>
    </w:p>
    <w:p>
      <w:pPr>
        <w:pStyle w:val="3"/>
        <w:numPr>
          <w:ilvl w:val="0"/>
          <w:numId w:val="39"/>
        </w:numPr>
        <w:ind w:left="924" w:hanging="357"/>
        <w:rPr>
          <w:highlight w:val="none"/>
          <w:lang w:eastAsia="pt-BR"/>
        </w:rPr>
      </w:pPr>
      <w:r>
        <w:rPr>
          <w:highlight w:val="none"/>
        </w:rPr>
        <w:fldChar w:fldCharType="begin"/>
      </w:r>
      <w:r>
        <w:rPr>
          <w:highlight w:val="none"/>
        </w:rPr>
        <w:instrText xml:space="preserve"> REF _Ref78986510 \h  \* MERGEFORMAT </w:instrText>
      </w:r>
      <w:r>
        <w:rPr>
          <w:highlight w:val="none"/>
        </w:rPr>
        <w:fldChar w:fldCharType="separate"/>
      </w:r>
      <w:r>
        <w:rPr>
          <w:szCs w:val="20"/>
          <w:highlight w:val="none"/>
        </w:rPr>
        <w:t>Anexo I: Justificativas</w:t>
      </w:r>
      <w:r>
        <w:rPr>
          <w:szCs w:val="20"/>
          <w:highlight w:val="none"/>
        </w:rPr>
        <w:fldChar w:fldCharType="end"/>
      </w:r>
      <w:r>
        <w:rPr>
          <w:highlight w:val="none"/>
          <w:lang w:eastAsia="pt-BR"/>
        </w:rPr>
        <w:t>;</w:t>
      </w:r>
    </w:p>
    <w:p>
      <w:pPr>
        <w:pStyle w:val="3"/>
        <w:numPr>
          <w:ilvl w:val="0"/>
          <w:numId w:val="39"/>
        </w:numPr>
        <w:ind w:left="924" w:hanging="357"/>
        <w:rPr>
          <w:highlight w:val="none"/>
          <w:lang w:eastAsia="pt-BR"/>
        </w:rPr>
      </w:pPr>
      <w:r>
        <w:rPr>
          <w:highlight w:val="none"/>
          <w:lang w:eastAsia="pt-BR"/>
        </w:rPr>
        <w:fldChar w:fldCharType="begin"/>
      </w:r>
      <w:r>
        <w:rPr>
          <w:highlight w:val="none"/>
          <w:lang w:eastAsia="pt-BR"/>
        </w:rPr>
        <w:instrText xml:space="preserve"> REF _Ref450206147 \h </w:instrText>
      </w:r>
      <w:r>
        <w:rPr>
          <w:highlight w:val="none"/>
          <w:lang w:eastAsia="pt-BR"/>
        </w:rPr>
        <w:fldChar w:fldCharType="separate"/>
      </w:r>
      <w:r>
        <w:rPr>
          <w:szCs w:val="20"/>
          <w:highlight w:val="none"/>
        </w:rPr>
        <w:t>Anexo II: Modelo de Declaração de Conhecimento do Local de Execução dos Serviços</w:t>
      </w:r>
      <w:r>
        <w:rPr>
          <w:highlight w:val="none"/>
          <w:lang w:eastAsia="pt-BR"/>
        </w:rPr>
        <w:fldChar w:fldCharType="end"/>
      </w:r>
      <w:r>
        <w:rPr>
          <w:highlight w:val="none"/>
          <w:lang w:eastAsia="pt-BR"/>
        </w:rPr>
        <w:t>;</w:t>
      </w:r>
    </w:p>
    <w:p>
      <w:pPr>
        <w:pStyle w:val="3"/>
        <w:numPr>
          <w:ilvl w:val="0"/>
          <w:numId w:val="39"/>
        </w:numPr>
        <w:ind w:left="924" w:hanging="357"/>
        <w:rPr>
          <w:highlight w:val="none"/>
          <w:lang w:eastAsia="pt-BR"/>
        </w:rPr>
      </w:pPr>
      <w:r>
        <w:rPr>
          <w:highlight w:val="none"/>
          <w:lang w:eastAsia="pt-BR"/>
        </w:rPr>
        <w:fldChar w:fldCharType="begin"/>
      </w:r>
      <w:r>
        <w:rPr>
          <w:highlight w:val="none"/>
          <w:lang w:eastAsia="pt-BR"/>
        </w:rPr>
        <w:instrText xml:space="preserve"> REF _Ref450206155 \h </w:instrText>
      </w:r>
      <w:r>
        <w:rPr>
          <w:highlight w:val="none"/>
          <w:lang w:eastAsia="pt-BR"/>
        </w:rPr>
        <w:fldChar w:fldCharType="separate"/>
      </w:r>
      <w:r>
        <w:rPr>
          <w:szCs w:val="20"/>
          <w:highlight w:val="none"/>
        </w:rPr>
        <w:t>Anexo III: Planilha de Custos do Valor do Orçamento de Referência</w:t>
      </w:r>
      <w:r>
        <w:rPr>
          <w:highlight w:val="none"/>
          <w:lang w:eastAsia="pt-BR"/>
        </w:rPr>
        <w:fldChar w:fldCharType="end"/>
      </w:r>
      <w:r>
        <w:rPr>
          <w:highlight w:val="none"/>
          <w:lang w:eastAsia="pt-BR"/>
        </w:rPr>
        <w:t>;</w:t>
      </w:r>
    </w:p>
    <w:p>
      <w:pPr>
        <w:pStyle w:val="3"/>
        <w:numPr>
          <w:ilvl w:val="0"/>
          <w:numId w:val="39"/>
        </w:numPr>
        <w:ind w:left="924" w:hanging="357"/>
        <w:rPr>
          <w:highlight w:val="none"/>
          <w:lang w:eastAsia="pt-BR"/>
        </w:rPr>
      </w:pPr>
      <w:r>
        <w:rPr>
          <w:highlight w:val="none"/>
          <w:lang w:eastAsia="pt-BR"/>
        </w:rPr>
        <w:fldChar w:fldCharType="begin"/>
      </w:r>
      <w:r>
        <w:rPr>
          <w:highlight w:val="none"/>
          <w:lang w:eastAsia="pt-BR"/>
        </w:rPr>
        <w:instrText xml:space="preserve"> REF _Ref78986735 \h </w:instrText>
      </w:r>
      <w:r>
        <w:rPr>
          <w:highlight w:val="none"/>
          <w:lang w:eastAsia="pt-BR"/>
        </w:rPr>
        <w:fldChar w:fldCharType="separate"/>
      </w:r>
      <w:r>
        <w:rPr>
          <w:szCs w:val="20"/>
          <w:highlight w:val="none"/>
        </w:rPr>
        <w:t>Anexo IV: Detalhamento dos Encargos Sociais e do BDI</w:t>
      </w:r>
      <w:r>
        <w:rPr>
          <w:highlight w:val="none"/>
          <w:lang w:eastAsia="pt-BR"/>
        </w:rPr>
        <w:fldChar w:fldCharType="end"/>
      </w:r>
      <w:r>
        <w:rPr>
          <w:highlight w:val="none"/>
          <w:lang w:eastAsia="pt-BR"/>
        </w:rPr>
        <w:t>;</w:t>
      </w:r>
    </w:p>
    <w:p>
      <w:pPr>
        <w:pStyle w:val="3"/>
        <w:numPr>
          <w:ilvl w:val="0"/>
          <w:numId w:val="40"/>
        </w:numPr>
        <w:ind w:left="1815" w:hanging="397"/>
        <w:rPr>
          <w:szCs w:val="20"/>
          <w:highlight w:val="none"/>
        </w:rPr>
      </w:pPr>
      <w:r>
        <w:rPr>
          <w:szCs w:val="20"/>
          <w:highlight w:val="none"/>
        </w:rPr>
        <w:t>Detalhamento dos Encargos Sociais (Quadro DES) – Horista e Mensalista;</w:t>
      </w:r>
    </w:p>
    <w:p>
      <w:pPr>
        <w:pStyle w:val="3"/>
        <w:numPr>
          <w:ilvl w:val="0"/>
          <w:numId w:val="40"/>
        </w:numPr>
        <w:ind w:left="1815" w:hanging="397"/>
        <w:rPr>
          <w:szCs w:val="20"/>
          <w:highlight w:val="none"/>
        </w:rPr>
      </w:pPr>
      <w:r>
        <w:rPr>
          <w:szCs w:val="20"/>
          <w:highlight w:val="none"/>
        </w:rPr>
        <w:t>Detalhamento do BDI – (Quadro DBDI-S) – Serviços;</w:t>
      </w:r>
    </w:p>
    <w:p>
      <w:pPr>
        <w:pStyle w:val="3"/>
        <w:numPr>
          <w:ilvl w:val="0"/>
          <w:numId w:val="40"/>
        </w:numPr>
        <w:ind w:left="1815" w:hanging="397"/>
        <w:rPr>
          <w:szCs w:val="20"/>
          <w:highlight w:val="none"/>
        </w:rPr>
      </w:pPr>
      <w:r>
        <w:rPr>
          <w:szCs w:val="20"/>
          <w:highlight w:val="none"/>
        </w:rPr>
        <w:t>Detalhamento do BDI – (Quadro DBDI-F) – Fornecimento.</w:t>
      </w:r>
    </w:p>
    <w:p>
      <w:pPr>
        <w:pStyle w:val="3"/>
        <w:numPr>
          <w:ilvl w:val="0"/>
          <w:numId w:val="41"/>
        </w:numPr>
        <w:ind w:left="924" w:hanging="357"/>
        <w:rPr>
          <w:highlight w:val="none"/>
          <w:lang w:eastAsia="pt-BR"/>
        </w:rPr>
      </w:pPr>
      <w:r>
        <w:rPr>
          <w:highlight w:val="none"/>
          <w:lang w:eastAsia="pt-BR"/>
        </w:rPr>
        <w:fldChar w:fldCharType="begin"/>
      </w:r>
      <w:r>
        <w:rPr>
          <w:highlight w:val="none"/>
          <w:lang w:eastAsia="pt-BR"/>
        </w:rPr>
        <w:instrText xml:space="preserve"> REF _Ref450206152 \h </w:instrText>
      </w:r>
      <w:r>
        <w:rPr>
          <w:highlight w:val="none"/>
          <w:lang w:eastAsia="pt-BR"/>
        </w:rPr>
        <w:fldChar w:fldCharType="separate"/>
      </w:r>
      <w:r>
        <w:rPr>
          <w:szCs w:val="20"/>
          <w:highlight w:val="none"/>
        </w:rPr>
        <w:t>Anexo V: Desenhos e memoriais</w:t>
      </w:r>
      <w:r>
        <w:rPr>
          <w:highlight w:val="none"/>
          <w:lang w:eastAsia="pt-BR"/>
        </w:rPr>
        <w:fldChar w:fldCharType="end"/>
      </w:r>
      <w:r>
        <w:rPr>
          <w:highlight w:val="none"/>
          <w:lang w:eastAsia="pt-BR"/>
        </w:rPr>
        <w:t>;</w:t>
      </w:r>
    </w:p>
    <w:p>
      <w:pPr>
        <w:pStyle w:val="3"/>
        <w:numPr>
          <w:ilvl w:val="0"/>
          <w:numId w:val="41"/>
        </w:numPr>
        <w:ind w:left="924" w:hanging="357"/>
        <w:rPr>
          <w:highlight w:val="none"/>
          <w:lang w:eastAsia="pt-BR"/>
        </w:rPr>
      </w:pPr>
      <w:r>
        <w:rPr>
          <w:highlight w:val="none"/>
          <w:lang w:eastAsia="pt-BR"/>
        </w:rPr>
        <w:fldChar w:fldCharType="begin"/>
      </w:r>
      <w:r>
        <w:rPr>
          <w:highlight w:val="none"/>
          <w:lang w:eastAsia="pt-BR"/>
        </w:rPr>
        <w:instrText xml:space="preserve"> REF _Ref450206154 \h </w:instrText>
      </w:r>
      <w:r>
        <w:rPr>
          <w:highlight w:val="none"/>
          <w:lang w:eastAsia="pt-BR"/>
        </w:rPr>
        <w:fldChar w:fldCharType="separate"/>
      </w:r>
      <w:r>
        <w:rPr>
          <w:szCs w:val="20"/>
          <w:highlight w:val="none"/>
        </w:rPr>
        <w:t>Anexo VI: Manual de Uso da Marca do Governo</w:t>
      </w:r>
      <w:r>
        <w:rPr>
          <w:highlight w:val="none"/>
          <w:lang w:eastAsia="pt-BR"/>
        </w:rPr>
        <w:fldChar w:fldCharType="end"/>
      </w:r>
      <w:r>
        <w:rPr>
          <w:highlight w:val="none"/>
          <w:lang w:eastAsia="pt-BR"/>
        </w:rPr>
        <w:t>;</w:t>
      </w:r>
    </w:p>
    <w:p>
      <w:pPr>
        <w:pStyle w:val="3"/>
        <w:numPr>
          <w:ilvl w:val="0"/>
          <w:numId w:val="41"/>
        </w:numPr>
        <w:ind w:left="924" w:hanging="357"/>
        <w:rPr>
          <w:highlight w:val="none"/>
          <w:lang w:eastAsia="pt-BR"/>
        </w:rPr>
      </w:pPr>
      <w:r>
        <w:rPr>
          <w:highlight w:val="none"/>
          <w:lang w:eastAsia="pt-BR"/>
        </w:rPr>
        <w:fldChar w:fldCharType="begin"/>
      </w:r>
      <w:r>
        <w:rPr>
          <w:highlight w:val="none"/>
          <w:lang w:eastAsia="pt-BR"/>
        </w:rPr>
        <w:instrText xml:space="preserve"> REF _Ref78986752 \h </w:instrText>
      </w:r>
      <w:r>
        <w:rPr>
          <w:highlight w:val="none"/>
          <w:lang w:eastAsia="pt-BR"/>
        </w:rPr>
        <w:fldChar w:fldCharType="separate"/>
      </w:r>
      <w:r>
        <w:rPr>
          <w:szCs w:val="20"/>
          <w:highlight w:val="none"/>
        </w:rPr>
        <w:t>Anexo VII: Matriz de Risco</w:t>
      </w:r>
      <w:r>
        <w:rPr>
          <w:highlight w:val="none"/>
          <w:lang w:eastAsia="pt-BR"/>
        </w:rPr>
        <w:fldChar w:fldCharType="end"/>
      </w:r>
      <w:r>
        <w:rPr>
          <w:highlight w:val="none"/>
          <w:lang w:eastAsia="pt-BR"/>
        </w:rPr>
        <w:t>.</w:t>
      </w:r>
    </w:p>
    <w:p>
      <w:pPr>
        <w:rPr>
          <w:szCs w:val="20"/>
          <w:highlight w:val="none"/>
        </w:rPr>
      </w:pPr>
    </w:p>
    <w:p>
      <w:pPr>
        <w:spacing w:after="200" w:line="276" w:lineRule="auto"/>
        <w:jc w:val="center"/>
        <w:rPr>
          <w:b/>
          <w:szCs w:val="20"/>
          <w:highlight w:val="none"/>
        </w:rPr>
      </w:pPr>
      <w:r>
        <w:rPr>
          <w:szCs w:val="20"/>
          <w:highlight w:val="none"/>
        </w:rPr>
        <w:br w:type="page"/>
      </w:r>
      <w:bookmarkStart w:id="49" w:name="_Ref450205714"/>
      <w:bookmarkStart w:id="50" w:name="_Ref441155482"/>
      <w:bookmarkStart w:id="51" w:name="_Ref462845883"/>
      <w:bookmarkStart w:id="52" w:name="_Ref394333211"/>
      <w:bookmarkStart w:id="53" w:name="_Toc392675799"/>
      <w:bookmarkStart w:id="54" w:name="_Toc440982774"/>
      <w:bookmarkStart w:id="55" w:name="_Ref462845863"/>
      <w:bookmarkStart w:id="56" w:name="_Ref78986510"/>
      <w:bookmarkStart w:id="57" w:name="_Ref450206143"/>
      <w:bookmarkStart w:id="58" w:name="_Toc352230692"/>
      <w:bookmarkStart w:id="59" w:name="_Ref462845891"/>
      <w:bookmarkStart w:id="60" w:name="_Ref440982424"/>
      <w:r>
        <w:rPr>
          <w:b/>
          <w:szCs w:val="20"/>
          <w:highlight w:val="none"/>
        </w:rPr>
        <w:t xml:space="preserve">Anexo </w:t>
      </w:r>
      <w:r>
        <w:rPr>
          <w:b/>
          <w:szCs w:val="20"/>
          <w:highlight w:val="none"/>
        </w:rPr>
        <w:fldChar w:fldCharType="begin"/>
      </w:r>
      <w:r>
        <w:rPr>
          <w:b/>
          <w:szCs w:val="20"/>
          <w:highlight w:val="none"/>
        </w:rPr>
        <w:instrText xml:space="preserve"> SEQ Anexo \* ROMAN </w:instrText>
      </w:r>
      <w:r>
        <w:rPr>
          <w:b/>
          <w:szCs w:val="20"/>
          <w:highlight w:val="none"/>
        </w:rPr>
        <w:fldChar w:fldCharType="separate"/>
      </w:r>
      <w:r>
        <w:rPr>
          <w:b/>
          <w:szCs w:val="20"/>
          <w:highlight w:val="none"/>
        </w:rPr>
        <w:t>I</w:t>
      </w:r>
      <w:r>
        <w:rPr>
          <w:b/>
          <w:szCs w:val="20"/>
          <w:highlight w:val="none"/>
        </w:rPr>
        <w:fldChar w:fldCharType="end"/>
      </w:r>
      <w:bookmarkEnd w:id="49"/>
      <w:r>
        <w:rPr>
          <w:b/>
          <w:szCs w:val="20"/>
          <w:highlight w:val="none"/>
        </w:rPr>
        <w:t>: Justificativas</w:t>
      </w:r>
      <w:bookmarkEnd w:id="50"/>
      <w:bookmarkEnd w:id="51"/>
      <w:bookmarkEnd w:id="52"/>
      <w:bookmarkEnd w:id="53"/>
      <w:bookmarkEnd w:id="54"/>
      <w:bookmarkEnd w:id="55"/>
      <w:bookmarkEnd w:id="56"/>
      <w:bookmarkEnd w:id="57"/>
      <w:bookmarkEnd w:id="58"/>
      <w:bookmarkEnd w:id="59"/>
      <w:bookmarkEnd w:id="60"/>
    </w:p>
    <w:p>
      <w:pPr>
        <w:rPr>
          <w:szCs w:val="20"/>
          <w:highlight w:val="none"/>
        </w:rPr>
      </w:pPr>
    </w:p>
    <w:p>
      <w:pPr>
        <w:rPr>
          <w:szCs w:val="20"/>
          <w:highlight w:val="none"/>
        </w:rPr>
      </w:pPr>
      <w:r>
        <w:rPr>
          <w:b/>
          <w:szCs w:val="20"/>
          <w:highlight w:val="none"/>
        </w:rPr>
        <w:t>Finalidade</w:t>
      </w:r>
      <w:r>
        <w:rPr>
          <w:szCs w:val="20"/>
          <w:highlight w:val="none"/>
        </w:rPr>
        <w:t>: este anexo tem por finalidade incluir exigências e particularidades em função da especificidade da obra ou serviço de engenharia, previstas no Termo de Referência e que aqui, após relacionadas, passam a integrar o TR.</w:t>
      </w:r>
    </w:p>
    <w:p>
      <w:pPr>
        <w:rPr>
          <w:szCs w:val="20"/>
          <w:highlight w:val="none"/>
        </w:rPr>
      </w:pPr>
    </w:p>
    <w:p>
      <w:pPr>
        <w:rPr>
          <w:b/>
          <w:szCs w:val="20"/>
          <w:highlight w:val="none"/>
        </w:rPr>
      </w:pPr>
      <w:r>
        <w:rPr>
          <w:b/>
          <w:szCs w:val="20"/>
          <w:highlight w:val="none"/>
        </w:rPr>
        <w:t>Justificativas:</w:t>
      </w:r>
    </w:p>
    <w:p>
      <w:pPr>
        <w:rPr>
          <w:szCs w:val="20"/>
          <w:highlight w:val="none"/>
        </w:rPr>
      </w:pPr>
    </w:p>
    <w:p>
      <w:pPr>
        <w:rPr>
          <w:b/>
          <w:szCs w:val="20"/>
          <w:highlight w:val="none"/>
          <w:u w:val="single"/>
        </w:rPr>
      </w:pPr>
      <w:r>
        <w:rPr>
          <w:b/>
          <w:szCs w:val="20"/>
          <w:highlight w:val="none"/>
          <w:u w:val="single"/>
        </w:rPr>
        <w:t>Da necessidade da contratação:</w:t>
      </w:r>
    </w:p>
    <w:p>
      <w:pPr>
        <w:rPr>
          <w:szCs w:val="20"/>
          <w:highlight w:val="none"/>
        </w:rPr>
      </w:pPr>
    </w:p>
    <w:p>
      <w:pPr>
        <w:rPr>
          <w:highlight w:val="none"/>
        </w:rPr>
      </w:pPr>
      <w:r>
        <w:rPr>
          <w:highlight w:val="none"/>
        </w:rPr>
        <w:t>A necessidade de contratação justifica-se por razões de interesse público, pois é sabido que na região nordeste, em especial no semiárido, há dificuldade de acesso à água pela população, quer seja pelo deficit hídrico da região, quer seja por questões socioeconômicas.</w:t>
      </w:r>
    </w:p>
    <w:p>
      <w:pPr>
        <w:rPr>
          <w:highlight w:val="none"/>
        </w:rPr>
      </w:pPr>
    </w:p>
    <w:p>
      <w:pPr>
        <w:rPr>
          <w:highlight w:val="none"/>
        </w:rPr>
      </w:pPr>
      <w:r>
        <w:rPr>
          <w:highlight w:val="none"/>
        </w:rPr>
        <w:t>A implantação de infraestruturas como a que se pretende construir por meio desta contratação contribuirá para a universalização do acesso à água, um dos princípios fundamentais da Lei Federal nº 11.445/2007, que  estabelece as diretrizes nacionais para o saneamento básico, entendidos como conjunto de serviços públicos, infraestruturas e instalações operacionais de: abastecimento de água potável; esgotamento sanitário; limpeza urbana e manejo de resíduos sólidos; e drenagem e manejo das águas pluviais urbanas.</w:t>
      </w:r>
    </w:p>
    <w:p>
      <w:pPr>
        <w:rPr>
          <w:highlight w:val="none"/>
        </w:rPr>
      </w:pPr>
    </w:p>
    <w:p>
      <w:pPr>
        <w:rPr>
          <w:highlight w:val="none"/>
        </w:rPr>
      </w:pPr>
      <w:r>
        <w:rPr>
          <w:highlight w:val="none"/>
        </w:rPr>
        <w:t xml:space="preserve">Na área rural do município de Bom Jesus da Lapa, no período de estiagem, muitas comunidades dependem de carro-pipa para terem acesso à água </w:t>
      </w:r>
      <w:r>
        <w:rPr>
          <w:rFonts w:hint="default"/>
          <w:highlight w:val="none"/>
          <w:lang w:val="pt-BR"/>
        </w:rPr>
        <w:t xml:space="preserve">potável </w:t>
      </w:r>
      <w:r>
        <w:rPr>
          <w:highlight w:val="none"/>
        </w:rPr>
        <w:t>e</w:t>
      </w:r>
      <w:r>
        <w:rPr>
          <w:rFonts w:hint="default"/>
          <w:highlight w:val="none"/>
          <w:lang w:val="pt-BR"/>
        </w:rPr>
        <w:t>,</w:t>
      </w:r>
      <w:r>
        <w:rPr>
          <w:highlight w:val="none"/>
        </w:rPr>
        <w:t xml:space="preserve"> na sede do município</w:t>
      </w:r>
      <w:r>
        <w:rPr>
          <w:rFonts w:hint="default"/>
          <w:highlight w:val="none"/>
          <w:lang w:val="pt-BR"/>
        </w:rPr>
        <w:t>,</w:t>
      </w:r>
      <w:r>
        <w:rPr>
          <w:highlight w:val="none"/>
        </w:rPr>
        <w:t xml:space="preserve"> o crescimento populacional somado à população flutuante nos meses de romaria tem pressionado a capacidade do sistema de abastecimento existente.</w:t>
      </w:r>
    </w:p>
    <w:p>
      <w:pPr>
        <w:rPr>
          <w:highlight w:val="none"/>
        </w:rPr>
      </w:pPr>
    </w:p>
    <w:p>
      <w:pPr>
        <w:rPr>
          <w:highlight w:val="none"/>
        </w:rPr>
      </w:pPr>
      <w:r>
        <w:rPr>
          <w:highlight w:val="none"/>
        </w:rPr>
        <w:t>Em 20</w:t>
      </w:r>
      <w:r>
        <w:rPr>
          <w:rFonts w:hint="default"/>
          <w:highlight w:val="none"/>
          <w:lang w:val="pt-BR"/>
        </w:rPr>
        <w:t>20</w:t>
      </w:r>
      <w:r>
        <w:rPr>
          <w:highlight w:val="none"/>
        </w:rPr>
        <w:t xml:space="preserve"> a Codevasf contratou a elaboração do Projeto Básico de Engenharia do Sistema de Abastecimento de Água para atender </w:t>
      </w:r>
      <w:r>
        <w:rPr>
          <w:rFonts w:hint="default"/>
          <w:highlight w:val="none"/>
          <w:lang w:val="pt-BR"/>
        </w:rPr>
        <w:t>a comunidade rural de Barrinha, no município de Bom Jesus da Lapa, no estado da Bahia</w:t>
      </w:r>
      <w:r>
        <w:rPr>
          <w:highlight w:val="none"/>
        </w:rPr>
        <w:t xml:space="preserve">, o qual foi concluído em </w:t>
      </w:r>
      <w:r>
        <w:rPr>
          <w:rFonts w:hint="default"/>
          <w:highlight w:val="none"/>
          <w:lang w:val="pt-BR"/>
        </w:rPr>
        <w:t>novembr</w:t>
      </w:r>
      <w:r>
        <w:rPr>
          <w:highlight w:val="none"/>
        </w:rPr>
        <w:t>o de 2021, possibilitando a contratação da obra.</w:t>
      </w:r>
    </w:p>
    <w:p>
      <w:pPr>
        <w:rPr>
          <w:highlight w:val="none"/>
        </w:rPr>
      </w:pPr>
    </w:p>
    <w:p>
      <w:pPr>
        <w:rPr>
          <w:highlight w:val="none"/>
        </w:rPr>
      </w:pPr>
      <w:r>
        <w:rPr>
          <w:highlight w:val="none"/>
        </w:rPr>
        <w:t>Diante do exposto, entender-se como necessária a contratação dos serviços objeto da presente licitação para atender a demanda de município da área de atuação da Codevasf, no âmbito da 2ª Superintendência Regional, visando a melhoria da qualidade de vida da população a ser beneficiada, indo ao encontro da missão institucional da Codevasf, que é “Desenvolver bacias hidrográficas de forma integrada e sustentável, contribuindo para a redução das desigualdades regionais”</w:t>
      </w:r>
    </w:p>
    <w:p>
      <w:pPr>
        <w:rPr>
          <w:highlight w:val="none"/>
        </w:rPr>
      </w:pPr>
    </w:p>
    <w:p>
      <w:pPr>
        <w:rPr>
          <w:b/>
          <w:szCs w:val="20"/>
          <w:highlight w:val="none"/>
          <w:u w:val="single"/>
        </w:rPr>
      </w:pPr>
      <w:r>
        <w:rPr>
          <w:b/>
          <w:szCs w:val="20"/>
          <w:highlight w:val="none"/>
          <w:u w:val="single"/>
        </w:rPr>
        <w:t>Regime de execução:</w:t>
      </w:r>
    </w:p>
    <w:p>
      <w:pPr>
        <w:rPr>
          <w:b/>
          <w:szCs w:val="20"/>
          <w:highlight w:val="none"/>
          <w:u w:val="single"/>
        </w:rPr>
      </w:pPr>
    </w:p>
    <w:p>
      <w:pPr>
        <w:rPr>
          <w:szCs w:val="20"/>
          <w:highlight w:val="none"/>
        </w:rPr>
      </w:pPr>
      <w:r>
        <w:rPr>
          <w:b/>
          <w:szCs w:val="20"/>
          <w:highlight w:val="none"/>
        </w:rPr>
        <w:t>Empreitada por Preços Unitários</w:t>
      </w:r>
      <w:r>
        <w:rPr>
          <w:szCs w:val="20"/>
          <w:highlight w:val="none"/>
        </w:rPr>
        <w:t>:</w:t>
      </w:r>
    </w:p>
    <w:p>
      <w:pPr>
        <w:rPr>
          <w:szCs w:val="20"/>
          <w:highlight w:val="none"/>
        </w:rPr>
      </w:pPr>
      <w:r>
        <w:rPr>
          <w:szCs w:val="20"/>
          <w:highlight w:val="none"/>
        </w:rPr>
        <w:t>Preço certo de unidades determinadas. O pagamento será feito com base nas medições das unidades efetivamente executadas.</w:t>
      </w:r>
    </w:p>
    <w:p>
      <w:pPr>
        <w:rPr>
          <w:szCs w:val="20"/>
          <w:highlight w:val="none"/>
        </w:rPr>
      </w:pPr>
    </w:p>
    <w:p>
      <w:pPr>
        <w:rPr>
          <w:szCs w:val="20"/>
          <w:highlight w:val="none"/>
        </w:rPr>
      </w:pPr>
      <w:r>
        <w:rPr>
          <w:szCs w:val="20"/>
          <w:highlight w:val="none"/>
        </w:rPr>
        <w:t>Apesar do ótimo nível de detalhamento do projeto básico ou executivo, o qual define as metodologia e tecnologia a serem utilizadas para sua execução, existem serviços que possuem certo grau de incerteza na definição dos quantitativos devido às suas características executivas, a exemplo de escavação de valas em areia e em rocha, reaterro de valas, momento de transporte de material para aquisição e para bota-fora.</w:t>
      </w:r>
    </w:p>
    <w:p>
      <w:pPr>
        <w:rPr>
          <w:szCs w:val="20"/>
          <w:highlight w:val="none"/>
        </w:rPr>
      </w:pPr>
    </w:p>
    <w:p>
      <w:pPr>
        <w:rPr>
          <w:szCs w:val="20"/>
          <w:highlight w:val="none"/>
        </w:rPr>
      </w:pPr>
      <w:r>
        <w:rPr>
          <w:szCs w:val="20"/>
          <w:highlight w:val="none"/>
        </w:rPr>
        <w:t>Este regime de execução é o mais apropriado para o objeto da licitação, pois serão pagos somente os serviços efetivamente executados, mediante medições mensais, dos preços unitários propostos pela contratada.</w:t>
      </w:r>
    </w:p>
    <w:p>
      <w:pPr>
        <w:rPr>
          <w:szCs w:val="20"/>
          <w:highlight w:val="none"/>
        </w:rPr>
      </w:pPr>
    </w:p>
    <w:p>
      <w:pPr>
        <w:rPr>
          <w:szCs w:val="20"/>
          <w:highlight w:val="none"/>
        </w:rPr>
      </w:pPr>
      <w:r>
        <w:rPr>
          <w:b/>
          <w:szCs w:val="20"/>
          <w:highlight w:val="none"/>
          <w:u w:val="single"/>
        </w:rPr>
        <w:t>Participação de Consórcios</w:t>
      </w:r>
      <w:r>
        <w:rPr>
          <w:szCs w:val="20"/>
          <w:highlight w:val="none"/>
        </w:rPr>
        <w:t>:</w:t>
      </w:r>
    </w:p>
    <w:p>
      <w:pPr>
        <w:rPr>
          <w:szCs w:val="20"/>
          <w:highlight w:val="none"/>
        </w:rPr>
      </w:pPr>
    </w:p>
    <w:p>
      <w:pPr>
        <w:rPr>
          <w:szCs w:val="20"/>
          <w:highlight w:val="none"/>
        </w:rPr>
      </w:pPr>
      <w:r>
        <w:rPr>
          <w:szCs w:val="20"/>
          <w:highlight w:val="none"/>
        </w:rPr>
        <w:t>Não será permitida, na presente licitação, a participação de empresas em consórcio, tendo em vista, que o objeto em questão não é considerado de alta complexidade ou vulto, sendo, portanto, improvável a geração de algum fator técnico, operacional ou econômico, que venha privar a participação de empresas consideradas do ramo para execução do presente objeto.</w:t>
      </w:r>
    </w:p>
    <w:p>
      <w:pPr>
        <w:rPr>
          <w:szCs w:val="20"/>
          <w:highlight w:val="none"/>
        </w:rPr>
      </w:pPr>
    </w:p>
    <w:p>
      <w:pPr>
        <w:rPr>
          <w:color w:val="0070C0"/>
          <w:highlight w:val="none"/>
        </w:rPr>
      </w:pPr>
      <w:r>
        <w:rPr>
          <w:b/>
          <w:szCs w:val="20"/>
          <w:highlight w:val="none"/>
          <w:u w:val="single"/>
        </w:rPr>
        <w:t>Participação de Cooperativa</w:t>
      </w:r>
      <w:r>
        <w:rPr>
          <w:szCs w:val="20"/>
          <w:highlight w:val="none"/>
        </w:rPr>
        <w:t xml:space="preserve">: </w:t>
      </w:r>
      <w:r>
        <w:rPr>
          <w:highlight w:val="none"/>
        </w:rPr>
        <w:t>Não será permitida a participação de pessoas jurídicas organizadas sob a forma de Cooperativas uma vez que as especificidades do objeto e da prestação de serviço exige uma gestão operacional centralizada e não concede autonomia dos cooperados, conforme exigido pela IN MPOG 05/2017</w:t>
      </w:r>
      <w:r>
        <w:rPr>
          <w:color w:val="0070C0"/>
          <w:highlight w:val="none"/>
        </w:rPr>
        <w:t>.</w:t>
      </w:r>
    </w:p>
    <w:p>
      <w:pPr>
        <w:rPr>
          <w:color w:val="0070C0"/>
          <w:highlight w:val="none"/>
        </w:rPr>
      </w:pPr>
    </w:p>
    <w:p>
      <w:pPr>
        <w:rPr>
          <w:rFonts w:hint="default"/>
          <w:b w:val="0"/>
          <w:bCs/>
          <w:color w:val="0070C0"/>
          <w:highlight w:val="none"/>
          <w:u w:val="none"/>
          <w:lang w:val="pt-BR"/>
        </w:rPr>
      </w:pPr>
      <w:r>
        <w:rPr>
          <w:rFonts w:hint="default"/>
          <w:b/>
          <w:szCs w:val="20"/>
          <w:highlight w:val="none"/>
          <w:u w:val="single"/>
          <w:lang w:val="pt-BR"/>
        </w:rPr>
        <w:t>Subcontratação:</w:t>
      </w:r>
      <w:r>
        <w:rPr>
          <w:rFonts w:hint="default"/>
          <w:b w:val="0"/>
          <w:bCs/>
          <w:szCs w:val="20"/>
          <w:highlight w:val="none"/>
          <w:u w:val="none"/>
          <w:lang w:val="pt-BR"/>
        </w:rPr>
        <w:t xml:space="preserve"> Os serviços que poderão ser subcontratados são entendidos como atividades auxiliares e que, por não dizerem respeito às atividades fins da contratada, não são, muitas vezes, objeto de execução direta pelas mesmas. Não será obrigatória a subcontratação de microempresas e empresas de pequeno porte.</w:t>
      </w:r>
    </w:p>
    <w:p>
      <w:pPr>
        <w:rPr>
          <w:szCs w:val="20"/>
          <w:highlight w:val="none"/>
        </w:rPr>
      </w:pPr>
    </w:p>
    <w:p>
      <w:pPr>
        <w:rPr>
          <w:rFonts w:hint="default"/>
          <w:szCs w:val="20"/>
          <w:highlight w:val="none"/>
          <w:lang w:val="pt-BR"/>
        </w:rPr>
      </w:pPr>
      <w:r>
        <w:rPr>
          <w:b/>
          <w:szCs w:val="20"/>
          <w:highlight w:val="none"/>
          <w:u w:val="single"/>
        </w:rPr>
        <w:t>Desapropriação</w:t>
      </w:r>
      <w:r>
        <w:rPr>
          <w:szCs w:val="20"/>
          <w:highlight w:val="none"/>
        </w:rPr>
        <w:t>:</w:t>
      </w:r>
      <w:r>
        <w:rPr>
          <w:rFonts w:hint="default"/>
          <w:szCs w:val="20"/>
          <w:highlight w:val="none"/>
          <w:lang w:val="pt-BR"/>
        </w:rPr>
        <w:t xml:space="preserve"> Não se aplicará.</w:t>
      </w:r>
    </w:p>
    <w:p>
      <w:pPr>
        <w:rPr>
          <w:rFonts w:hint="default"/>
          <w:szCs w:val="20"/>
          <w:highlight w:val="none"/>
          <w:lang w:val="pt-BR"/>
        </w:rPr>
      </w:pPr>
    </w:p>
    <w:p>
      <w:pPr>
        <w:rPr>
          <w:szCs w:val="20"/>
          <w:highlight w:val="none"/>
        </w:rPr>
      </w:pPr>
      <w:r>
        <w:rPr>
          <w:b/>
          <w:szCs w:val="20"/>
          <w:highlight w:val="none"/>
          <w:u w:val="single"/>
        </w:rPr>
        <w:t>Critério de Julgamento</w:t>
      </w:r>
      <w:r>
        <w:rPr>
          <w:szCs w:val="20"/>
          <w:highlight w:val="none"/>
        </w:rPr>
        <w:t xml:space="preserve">: </w:t>
      </w:r>
      <w:r>
        <w:rPr>
          <w:bCs/>
          <w:szCs w:val="20"/>
          <w:highlight w:val="none"/>
        </w:rPr>
        <w:t>Maior Desconto</w:t>
      </w:r>
      <w:r>
        <w:rPr>
          <w:szCs w:val="20"/>
          <w:highlight w:val="none"/>
        </w:rPr>
        <w:t>, de acordo com o Art.54 da Lei n.º 13.303/2016.</w:t>
      </w:r>
    </w:p>
    <w:p>
      <w:pPr>
        <w:rPr>
          <w:szCs w:val="20"/>
          <w:highlight w:val="none"/>
        </w:rPr>
      </w:pPr>
    </w:p>
    <w:p>
      <w:pPr>
        <w:rPr>
          <w:szCs w:val="20"/>
          <w:highlight w:val="none"/>
        </w:rPr>
      </w:pPr>
      <w:r>
        <w:rPr>
          <w:b/>
          <w:bCs/>
          <w:szCs w:val="20"/>
          <w:highlight w:val="none"/>
          <w:u w:val="single"/>
        </w:rPr>
        <w:t>Divulgação do valor orçado</w:t>
      </w:r>
      <w:r>
        <w:rPr>
          <w:szCs w:val="20"/>
          <w:highlight w:val="none"/>
        </w:rPr>
        <w:t>: Divulgado.</w:t>
      </w:r>
    </w:p>
    <w:p>
      <w:pPr>
        <w:rPr>
          <w:szCs w:val="20"/>
          <w:highlight w:val="none"/>
        </w:rPr>
      </w:pPr>
    </w:p>
    <w:p>
      <w:pPr>
        <w:rPr>
          <w:szCs w:val="20"/>
          <w:highlight w:val="none"/>
        </w:rPr>
      </w:pPr>
      <w:r>
        <w:rPr>
          <w:szCs w:val="20"/>
          <w:highlight w:val="none"/>
        </w:rPr>
        <w:t>Conforme Acórdão nº 1502/2018 – Plenário TCU – Nas licitações realizadas pelas empresas estatais, sempre que o orçamento de referência for utilizado como critério de aceitabilidade das propostas, sua divulgação no edital é obrigatória, e não facultativa, em observância ao princípio constitucional da publicidade e, ainda, por não haver no art. 34 da Lei nº 13.303/2016 (Lei das Estatais) proibição absoluta à revelação do orçamento.</w:t>
      </w:r>
    </w:p>
    <w:p>
      <w:pPr>
        <w:rPr>
          <w:szCs w:val="20"/>
          <w:highlight w:val="none"/>
        </w:rPr>
      </w:pPr>
    </w:p>
    <w:p>
      <w:pPr>
        <w:rPr>
          <w:szCs w:val="20"/>
          <w:highlight w:val="none"/>
        </w:rPr>
      </w:pPr>
      <w:r>
        <w:rPr>
          <w:b/>
          <w:szCs w:val="20"/>
          <w:highlight w:val="none"/>
          <w:u w:val="single"/>
        </w:rPr>
        <w:t>Garantia do Objeto</w:t>
      </w:r>
      <w:r>
        <w:rPr>
          <w:szCs w:val="20"/>
          <w:highlight w:val="none"/>
        </w:rPr>
        <w:t>: A garantia do objeto deverá obedecer ao prazo definido no Art. 618 do Código Civil, Lei nº 10.406 de 10 de janeiro de 2002.O empreiteiro responderá durante cinco anos, pela solidez e segurança do trabalho.</w:t>
      </w:r>
    </w:p>
    <w:p>
      <w:pPr>
        <w:rPr>
          <w:szCs w:val="20"/>
          <w:highlight w:val="none"/>
        </w:rPr>
      </w:pPr>
    </w:p>
    <w:p>
      <w:pPr>
        <w:rPr>
          <w:szCs w:val="20"/>
          <w:highlight w:val="none"/>
        </w:rPr>
      </w:pPr>
      <w:r>
        <w:rPr>
          <w:b/>
          <w:szCs w:val="20"/>
          <w:highlight w:val="none"/>
          <w:u w:val="single"/>
        </w:rPr>
        <w:t>Garantia de Execução (caução)</w:t>
      </w:r>
      <w:r>
        <w:rPr>
          <w:szCs w:val="20"/>
          <w:highlight w:val="none"/>
        </w:rPr>
        <w:t>: É necessário para fins de emissão da Ordem de Serviço que a empresa contratada tenha apresentado a Garantia de Execução do Contrato.</w:t>
      </w:r>
    </w:p>
    <w:p>
      <w:pPr>
        <w:rPr>
          <w:szCs w:val="20"/>
          <w:highlight w:val="none"/>
        </w:rPr>
      </w:pPr>
    </w:p>
    <w:p>
      <w:pPr>
        <w:rPr>
          <w:color w:val="0070C0"/>
          <w:szCs w:val="20"/>
          <w:highlight w:val="none"/>
        </w:rPr>
      </w:pPr>
      <w:r>
        <w:rPr>
          <w:b/>
          <w:szCs w:val="20"/>
          <w:highlight w:val="none"/>
          <w:u w:val="single"/>
        </w:rPr>
        <w:t>Aprovação do Projeto Básico</w:t>
      </w:r>
      <w:r>
        <w:rPr>
          <w:szCs w:val="20"/>
          <w:highlight w:val="none"/>
        </w:rPr>
        <w:t>: O projeto básico deverá ser aprovado por ato da autoridade competente, conforme Resolução a ser juntada ao presente processo.</w:t>
      </w:r>
    </w:p>
    <w:p>
      <w:pPr>
        <w:rPr>
          <w:szCs w:val="20"/>
          <w:highlight w:val="none"/>
        </w:rPr>
      </w:pPr>
    </w:p>
    <w:p>
      <w:pPr>
        <w:keepNext/>
        <w:rPr>
          <w:szCs w:val="20"/>
          <w:highlight w:val="none"/>
        </w:rPr>
      </w:pPr>
      <w:r>
        <w:rPr>
          <w:b/>
          <w:bCs/>
          <w:szCs w:val="20"/>
          <w:highlight w:val="none"/>
          <w:u w:val="single"/>
        </w:rPr>
        <w:t>Qualificação Técnica</w:t>
      </w:r>
      <w:r>
        <w:rPr>
          <w:szCs w:val="20"/>
          <w:highlight w:val="none"/>
        </w:rPr>
        <w:t>:</w:t>
      </w:r>
    </w:p>
    <w:p>
      <w:pPr>
        <w:rPr>
          <w:szCs w:val="20"/>
          <w:highlight w:val="none"/>
        </w:rPr>
      </w:pPr>
      <w:r>
        <w:rPr>
          <w:szCs w:val="20"/>
          <w:highlight w:val="none"/>
        </w:rPr>
        <w:t>Os itens, que compõe a Qualificação Técnica (Habilitação) do presente TR, foram selecionados conforme a complexidade de execução e qualificação técnica exigida para sua realização.</w:t>
      </w:r>
    </w:p>
    <w:p>
      <w:pPr>
        <w:rPr>
          <w:szCs w:val="20"/>
          <w:highlight w:val="none"/>
        </w:rPr>
      </w:pPr>
    </w:p>
    <w:p>
      <w:pPr>
        <w:rPr>
          <w:szCs w:val="20"/>
          <w:highlight w:val="none"/>
        </w:rPr>
      </w:pPr>
      <w:r>
        <w:rPr>
          <w:b/>
          <w:bCs/>
          <w:szCs w:val="20"/>
          <w:highlight w:val="none"/>
          <w:u w:val="single"/>
        </w:rPr>
        <w:t>Licença Ambiental</w:t>
      </w:r>
      <w:r>
        <w:rPr>
          <w:szCs w:val="20"/>
          <w:highlight w:val="none"/>
        </w:rPr>
        <w:t>: A Codevasf irá apoiar a contratada na regularização ambiental do empreendimento.</w:t>
      </w:r>
    </w:p>
    <w:p>
      <w:pPr>
        <w:rPr>
          <w:color w:val="FF0000"/>
          <w:szCs w:val="20"/>
          <w:highlight w:val="none"/>
        </w:rPr>
      </w:pPr>
      <w:r>
        <w:rPr>
          <w:szCs w:val="20"/>
          <w:highlight w:val="none"/>
        </w:rPr>
        <w:t>A Licença Ambiental do presente empreendimento está sendo requerida pela 2ª/GRR/UMA junto ao órgão competente, neste caso o INEMA, em tempo hábil a possibilitar a sua obtenção antes da emissão da ordem de serviço, conforme item 11.3 deste Termo de Referência.</w:t>
      </w:r>
    </w:p>
    <w:p>
      <w:pPr>
        <w:rPr>
          <w:color w:val="FF0000"/>
          <w:szCs w:val="20"/>
          <w:highlight w:val="none"/>
        </w:rPr>
      </w:pPr>
    </w:p>
    <w:p>
      <w:pPr>
        <w:rPr>
          <w:szCs w:val="20"/>
          <w:highlight w:val="none"/>
        </w:rPr>
      </w:pPr>
    </w:p>
    <w:p>
      <w:pPr>
        <w:rPr>
          <w:szCs w:val="20"/>
          <w:highlight w:val="none"/>
        </w:rPr>
      </w:pPr>
    </w:p>
    <w:p>
      <w:pPr>
        <w:spacing w:after="200" w:line="276" w:lineRule="auto"/>
        <w:jc w:val="left"/>
        <w:rPr>
          <w:bCs/>
          <w:szCs w:val="20"/>
          <w:highlight w:val="none"/>
        </w:rPr>
      </w:pPr>
      <w:r>
        <w:rPr>
          <w:bCs/>
          <w:szCs w:val="20"/>
          <w:highlight w:val="none"/>
        </w:rPr>
        <w:br w:type="page"/>
      </w:r>
    </w:p>
    <w:p>
      <w:pPr>
        <w:pStyle w:val="21"/>
        <w:rPr>
          <w:szCs w:val="20"/>
          <w:highlight w:val="none"/>
        </w:rPr>
      </w:pPr>
      <w:bookmarkStart w:id="61" w:name="_Ref450205804"/>
      <w:bookmarkStart w:id="62" w:name="_Ref450206147"/>
      <w:r>
        <w:rPr>
          <w:szCs w:val="20"/>
          <w:highlight w:val="none"/>
        </w:rPr>
        <w:t xml:space="preserve">Anexo </w:t>
      </w:r>
      <w:r>
        <w:rPr>
          <w:szCs w:val="20"/>
          <w:highlight w:val="none"/>
        </w:rPr>
        <w:fldChar w:fldCharType="begin"/>
      </w:r>
      <w:r>
        <w:rPr>
          <w:szCs w:val="20"/>
          <w:highlight w:val="none"/>
        </w:rPr>
        <w:instrText xml:space="preserve"> SEQ Anexo \* ROMAN </w:instrText>
      </w:r>
      <w:r>
        <w:rPr>
          <w:szCs w:val="20"/>
          <w:highlight w:val="none"/>
        </w:rPr>
        <w:fldChar w:fldCharType="separate"/>
      </w:r>
      <w:r>
        <w:rPr>
          <w:szCs w:val="20"/>
          <w:highlight w:val="none"/>
        </w:rPr>
        <w:t>II</w:t>
      </w:r>
      <w:r>
        <w:rPr>
          <w:szCs w:val="20"/>
          <w:highlight w:val="none"/>
        </w:rPr>
        <w:fldChar w:fldCharType="end"/>
      </w:r>
      <w:bookmarkEnd w:id="61"/>
      <w:r>
        <w:rPr>
          <w:szCs w:val="20"/>
          <w:highlight w:val="none"/>
        </w:rPr>
        <w:t>: Modelo de Declaração de Conhecimento do Local de Execução dos Serviços</w:t>
      </w:r>
      <w:bookmarkEnd w:id="62"/>
    </w:p>
    <w:p>
      <w:pPr>
        <w:rPr>
          <w:szCs w:val="20"/>
          <w:highlight w:val="none"/>
        </w:rPr>
      </w:pPr>
    </w:p>
    <w:p>
      <w:pPr>
        <w:rPr>
          <w:szCs w:val="20"/>
          <w:highlight w:val="none"/>
        </w:rPr>
      </w:pPr>
    </w:p>
    <w:p>
      <w:pPr>
        <w:jc w:val="center"/>
        <w:rPr>
          <w:b/>
          <w:szCs w:val="20"/>
          <w:highlight w:val="none"/>
        </w:rPr>
      </w:pPr>
      <w:r>
        <w:rPr>
          <w:b/>
          <w:szCs w:val="20"/>
          <w:highlight w:val="none"/>
        </w:rPr>
        <w:t>MODELO DE DECLARAÇÃO DE CONHECIMENTO DO LOCAL DE EXECUÇÃO DOS SERVIÇOS</w:t>
      </w:r>
    </w:p>
    <w:p>
      <w:pPr>
        <w:rPr>
          <w:szCs w:val="20"/>
          <w:highlight w:val="none"/>
        </w:rPr>
      </w:pPr>
    </w:p>
    <w:p>
      <w:pPr>
        <w:rPr>
          <w:szCs w:val="20"/>
          <w:highlight w:val="none"/>
        </w:rPr>
      </w:pPr>
    </w:p>
    <w:p>
      <w:pPr>
        <w:rPr>
          <w:szCs w:val="20"/>
          <w:highlight w:val="none"/>
        </w:rPr>
      </w:pPr>
      <w:r>
        <w:rPr>
          <w:szCs w:val="20"/>
          <w:highlight w:val="none"/>
        </w:rPr>
        <w:t xml:space="preserve">A Licitante </w:t>
      </w:r>
      <w:r>
        <w:rPr>
          <w:szCs w:val="20"/>
          <w:highlight w:val="none"/>
          <w:u w:val="single"/>
        </w:rPr>
        <w:t>(NOME DA EMPRESA)</w:t>
      </w:r>
      <w:r>
        <w:rPr>
          <w:szCs w:val="20"/>
          <w:highlight w:val="none"/>
        </w:rPr>
        <w:t xml:space="preserve">, inscrita no CNPJ/MF nº </w:t>
      </w:r>
      <w:r>
        <w:rPr>
          <w:szCs w:val="20"/>
          <w:highlight w:val="none"/>
          <w:u w:val="single"/>
        </w:rPr>
        <w:t>(CNPJ DA EMPRESA)</w:t>
      </w:r>
      <w:r>
        <w:rPr>
          <w:szCs w:val="20"/>
          <w:highlight w:val="none"/>
        </w:rPr>
        <w:t>, por seu representante legal (ou responsável técnico) abaixo assinado, declara, sob as penalidades da lei, de que conhece o local onde serão executadas as obras, se inteirou dos dados indispensáveis à apresentação da proposta, e que os preços a serem propostos cobrirão quaisquer despesas que incidam ou venham a incidir sobre a execução das obras, tendo obtido todas as informações necessárias para a elaboração da proposta e execução do contrato.</w:t>
      </w:r>
    </w:p>
    <w:p>
      <w:pPr>
        <w:rPr>
          <w:szCs w:val="20"/>
          <w:highlight w:val="none"/>
        </w:rPr>
      </w:pPr>
    </w:p>
    <w:p>
      <w:pPr>
        <w:rPr>
          <w:szCs w:val="20"/>
          <w:highlight w:val="none"/>
        </w:rPr>
      </w:pPr>
    </w:p>
    <w:p>
      <w:pPr>
        <w:rPr>
          <w:rFonts w:eastAsia="Arial Unicode MS"/>
          <w:szCs w:val="20"/>
          <w:highlight w:val="none"/>
        </w:rPr>
      </w:pPr>
      <w:r>
        <w:rPr>
          <w:szCs w:val="20"/>
          <w:highlight w:val="none"/>
        </w:rPr>
        <w:t>Cidade, ___/___/_____</w:t>
      </w:r>
    </w:p>
    <w:p>
      <w:pPr>
        <w:rPr>
          <w:szCs w:val="20"/>
          <w:highlight w:val="none"/>
        </w:rPr>
      </w:pPr>
    </w:p>
    <w:p>
      <w:pPr>
        <w:rPr>
          <w:szCs w:val="20"/>
          <w:highlight w:val="none"/>
        </w:rPr>
      </w:pPr>
      <w:r>
        <w:rPr>
          <w:szCs w:val="20"/>
          <w:highlight w:val="none"/>
        </w:rPr>
        <w:t>____________________________________</w:t>
      </w:r>
    </w:p>
    <w:p>
      <w:pPr>
        <w:rPr>
          <w:szCs w:val="20"/>
          <w:highlight w:val="none"/>
        </w:rPr>
      </w:pPr>
      <w:r>
        <w:rPr>
          <w:szCs w:val="20"/>
          <w:highlight w:val="none"/>
        </w:rPr>
        <w:t>Assinatura do representante legal</w:t>
      </w:r>
    </w:p>
    <w:p>
      <w:pPr>
        <w:rPr>
          <w:szCs w:val="20"/>
          <w:highlight w:val="none"/>
        </w:rPr>
      </w:pPr>
    </w:p>
    <w:p>
      <w:pPr>
        <w:rPr>
          <w:rFonts w:eastAsia="Arial Unicode MS"/>
          <w:szCs w:val="20"/>
          <w:highlight w:val="none"/>
        </w:rPr>
      </w:pPr>
      <w:r>
        <w:rPr>
          <w:szCs w:val="20"/>
          <w:highlight w:val="none"/>
        </w:rPr>
        <w:t>Nome: _____________________________</w:t>
      </w:r>
    </w:p>
    <w:p>
      <w:pPr>
        <w:rPr>
          <w:szCs w:val="20"/>
          <w:highlight w:val="none"/>
        </w:rPr>
      </w:pPr>
    </w:p>
    <w:p>
      <w:pPr>
        <w:rPr>
          <w:szCs w:val="20"/>
          <w:highlight w:val="none"/>
        </w:rPr>
      </w:pPr>
      <w:r>
        <w:rPr>
          <w:szCs w:val="20"/>
          <w:highlight w:val="none"/>
        </w:rPr>
        <w:t>Função: ____________________________</w:t>
      </w:r>
    </w:p>
    <w:p>
      <w:pPr>
        <w:rPr>
          <w:szCs w:val="20"/>
          <w:highlight w:val="none"/>
        </w:rPr>
      </w:pPr>
    </w:p>
    <w:p>
      <w:pPr>
        <w:pStyle w:val="21"/>
        <w:rPr>
          <w:szCs w:val="20"/>
          <w:highlight w:val="none"/>
        </w:rPr>
      </w:pPr>
      <w:r>
        <w:rPr>
          <w:szCs w:val="20"/>
          <w:highlight w:val="none"/>
        </w:rPr>
        <w:br w:type="page"/>
      </w:r>
      <w:bookmarkStart w:id="63" w:name="_Ref450205931"/>
      <w:bookmarkStart w:id="64" w:name="_Ref78987220"/>
      <w:bookmarkStart w:id="65" w:name="_Ref450206155"/>
      <w:bookmarkStart w:id="66" w:name="_Ref394332982"/>
      <w:bookmarkStart w:id="67" w:name="_Ref394393227"/>
      <w:bookmarkStart w:id="68" w:name="_Toc392675805"/>
      <w:bookmarkStart w:id="69" w:name="_Ref394333135"/>
      <w:bookmarkStart w:id="70" w:name="_Ref394333278"/>
      <w:bookmarkStart w:id="71" w:name="_Ref450206017"/>
      <w:bookmarkStart w:id="72" w:name="_Ref450206149"/>
      <w:r>
        <w:rPr>
          <w:szCs w:val="20"/>
          <w:highlight w:val="none"/>
        </w:rPr>
        <w:t xml:space="preserve">Anexo </w:t>
      </w:r>
      <w:bookmarkEnd w:id="63"/>
      <w:r>
        <w:rPr>
          <w:szCs w:val="20"/>
          <w:highlight w:val="none"/>
        </w:rPr>
        <w:fldChar w:fldCharType="begin"/>
      </w:r>
      <w:r>
        <w:rPr>
          <w:szCs w:val="20"/>
          <w:highlight w:val="none"/>
        </w:rPr>
        <w:instrText xml:space="preserve"> SEQ Anexo \* ROMAN </w:instrText>
      </w:r>
      <w:r>
        <w:rPr>
          <w:szCs w:val="20"/>
          <w:highlight w:val="none"/>
        </w:rPr>
        <w:fldChar w:fldCharType="separate"/>
      </w:r>
      <w:r>
        <w:rPr>
          <w:szCs w:val="20"/>
          <w:highlight w:val="none"/>
        </w:rPr>
        <w:t>III</w:t>
      </w:r>
      <w:r>
        <w:rPr>
          <w:szCs w:val="20"/>
          <w:highlight w:val="none"/>
        </w:rPr>
        <w:fldChar w:fldCharType="end"/>
      </w:r>
      <w:bookmarkEnd w:id="64"/>
      <w:r>
        <w:rPr>
          <w:szCs w:val="20"/>
          <w:highlight w:val="none"/>
        </w:rPr>
        <w:t>: Planilha de Custos do Valor do Orçamento de Referência</w:t>
      </w:r>
      <w:bookmarkEnd w:id="65"/>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jc w:val="center"/>
        <w:rPr>
          <w:b/>
          <w:szCs w:val="20"/>
          <w:highlight w:val="none"/>
        </w:rPr>
      </w:pPr>
      <w:r>
        <w:rPr>
          <w:b/>
          <w:szCs w:val="20"/>
          <w:highlight w:val="none"/>
        </w:rPr>
        <w:t>PLANILHA DE CUSTOS DO VALOR DO ORÇAMENTO DE REFERÊNCIA</w:t>
      </w:r>
    </w:p>
    <w:p>
      <w:pPr>
        <w:rPr>
          <w:szCs w:val="20"/>
          <w:highlight w:val="none"/>
        </w:rPr>
      </w:pPr>
    </w:p>
    <w:p>
      <w:pPr>
        <w:rPr>
          <w:szCs w:val="20"/>
          <w:highlight w:val="none"/>
        </w:rPr>
      </w:pPr>
    </w:p>
    <w:p>
      <w:pPr>
        <w:jc w:val="center"/>
        <w:rPr>
          <w:b/>
          <w:szCs w:val="20"/>
          <w:highlight w:val="none"/>
        </w:rPr>
      </w:pPr>
      <w:r>
        <w:rPr>
          <w:b/>
          <w:szCs w:val="20"/>
          <w:highlight w:val="none"/>
        </w:rPr>
        <w:t>(GRAVADO EM ARQUIVO SEPARADO)</w:t>
      </w:r>
    </w:p>
    <w:bookmarkEnd w:id="66"/>
    <w:bookmarkEnd w:id="67"/>
    <w:bookmarkEnd w:id="68"/>
    <w:bookmarkEnd w:id="69"/>
    <w:bookmarkEnd w:id="70"/>
    <w:p>
      <w:pPr>
        <w:rPr>
          <w:szCs w:val="20"/>
          <w:highlight w:val="none"/>
        </w:rPr>
      </w:pPr>
    </w:p>
    <w:p>
      <w:pPr>
        <w:spacing w:after="200" w:line="276" w:lineRule="auto"/>
        <w:jc w:val="left"/>
        <w:rPr>
          <w:szCs w:val="20"/>
          <w:highlight w:val="none"/>
        </w:rPr>
      </w:pPr>
      <w:r>
        <w:rPr>
          <w:szCs w:val="20"/>
          <w:highlight w:val="none"/>
        </w:rPr>
        <w:br w:type="page"/>
      </w:r>
    </w:p>
    <w:p>
      <w:pPr>
        <w:pStyle w:val="21"/>
        <w:rPr>
          <w:szCs w:val="20"/>
          <w:highlight w:val="none"/>
        </w:rPr>
      </w:pPr>
      <w:bookmarkStart w:id="73" w:name="_Ref78986735"/>
      <w:r>
        <w:rPr>
          <w:szCs w:val="20"/>
          <w:highlight w:val="none"/>
        </w:rPr>
        <w:t xml:space="preserve">Anexo </w:t>
      </w:r>
      <w:bookmarkEnd w:id="71"/>
      <w:r>
        <w:rPr>
          <w:szCs w:val="20"/>
          <w:highlight w:val="none"/>
        </w:rPr>
        <w:fldChar w:fldCharType="begin"/>
      </w:r>
      <w:r>
        <w:rPr>
          <w:szCs w:val="20"/>
          <w:highlight w:val="none"/>
        </w:rPr>
        <w:instrText xml:space="preserve"> SEQ Anexo \* ROMAN </w:instrText>
      </w:r>
      <w:r>
        <w:rPr>
          <w:szCs w:val="20"/>
          <w:highlight w:val="none"/>
        </w:rPr>
        <w:fldChar w:fldCharType="separate"/>
      </w:r>
      <w:r>
        <w:rPr>
          <w:szCs w:val="20"/>
          <w:highlight w:val="none"/>
        </w:rPr>
        <w:t>IV</w:t>
      </w:r>
      <w:r>
        <w:rPr>
          <w:szCs w:val="20"/>
          <w:highlight w:val="none"/>
        </w:rPr>
        <w:fldChar w:fldCharType="end"/>
      </w:r>
      <w:r>
        <w:rPr>
          <w:szCs w:val="20"/>
          <w:highlight w:val="none"/>
        </w:rPr>
        <w:t>: Detalhamento dos Encargos Sociais e do BDI</w:t>
      </w:r>
      <w:bookmarkEnd w:id="72"/>
      <w:bookmarkEnd w:id="73"/>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jc w:val="center"/>
        <w:rPr>
          <w:b/>
          <w:szCs w:val="20"/>
          <w:highlight w:val="none"/>
        </w:rPr>
      </w:pPr>
      <w:r>
        <w:rPr>
          <w:b/>
          <w:szCs w:val="20"/>
          <w:highlight w:val="none"/>
        </w:rPr>
        <w:t>Detalhamento</w:t>
      </w:r>
      <w:r>
        <w:rPr>
          <w:b/>
          <w:szCs w:val="20"/>
          <w:highlight w:val="none"/>
          <w:lang w:eastAsia="pt-BR"/>
        </w:rPr>
        <w:t xml:space="preserve"> dos Encargos Sociais – Horista e Mensalista (preenchido)</w:t>
      </w:r>
    </w:p>
    <w:p>
      <w:pPr>
        <w:jc w:val="center"/>
        <w:rPr>
          <w:b/>
          <w:szCs w:val="20"/>
          <w:highlight w:val="none"/>
          <w:lang w:eastAsia="pt-BR"/>
        </w:rPr>
      </w:pPr>
      <w:r>
        <w:rPr>
          <w:b/>
          <w:szCs w:val="20"/>
          <w:highlight w:val="none"/>
        </w:rPr>
        <w:t>Detalhamento</w:t>
      </w:r>
      <w:r>
        <w:rPr>
          <w:b/>
          <w:szCs w:val="20"/>
          <w:highlight w:val="none"/>
          <w:lang w:eastAsia="pt-BR"/>
        </w:rPr>
        <w:t xml:space="preserve"> dos Encargos Sociais – Horista e Mensalista (em branco)</w:t>
      </w:r>
    </w:p>
    <w:p>
      <w:pPr>
        <w:jc w:val="center"/>
        <w:rPr>
          <w:b/>
          <w:szCs w:val="20"/>
          <w:highlight w:val="none"/>
          <w:lang w:eastAsia="pt-BR"/>
        </w:rPr>
      </w:pPr>
      <w:r>
        <w:rPr>
          <w:b/>
          <w:szCs w:val="20"/>
          <w:highlight w:val="none"/>
        </w:rPr>
        <w:t>Detalhamento</w:t>
      </w:r>
      <w:r>
        <w:rPr>
          <w:b/>
          <w:szCs w:val="20"/>
          <w:highlight w:val="none"/>
          <w:lang w:eastAsia="pt-BR"/>
        </w:rPr>
        <w:t xml:space="preserve"> do BDI - Serviços</w:t>
      </w:r>
    </w:p>
    <w:p>
      <w:pPr>
        <w:jc w:val="center"/>
        <w:rPr>
          <w:b/>
          <w:szCs w:val="20"/>
          <w:highlight w:val="none"/>
          <w:lang w:eastAsia="pt-BR"/>
        </w:rPr>
      </w:pPr>
      <w:r>
        <w:rPr>
          <w:b/>
          <w:szCs w:val="20"/>
          <w:highlight w:val="none"/>
        </w:rPr>
        <w:t>Detalhamento</w:t>
      </w:r>
      <w:r>
        <w:rPr>
          <w:b/>
          <w:szCs w:val="20"/>
          <w:highlight w:val="none"/>
          <w:lang w:eastAsia="pt-BR"/>
        </w:rPr>
        <w:t xml:space="preserve"> do BDI – Fornecimento</w:t>
      </w:r>
    </w:p>
    <w:p>
      <w:pPr>
        <w:rPr>
          <w:szCs w:val="20"/>
          <w:highlight w:val="none"/>
        </w:rPr>
      </w:pPr>
    </w:p>
    <w:p>
      <w:pPr>
        <w:jc w:val="center"/>
        <w:rPr>
          <w:szCs w:val="20"/>
          <w:highlight w:val="none"/>
        </w:rPr>
      </w:pPr>
      <w:r>
        <w:rPr>
          <w:szCs w:val="20"/>
          <w:highlight w:val="none"/>
        </w:rPr>
        <w:br w:type="page"/>
      </w:r>
    </w:p>
    <w:p>
      <w:pPr>
        <w:jc w:val="center"/>
        <w:rPr>
          <w:b/>
          <w:szCs w:val="20"/>
          <w:highlight w:val="none"/>
          <w:lang w:eastAsia="pt-BR"/>
        </w:rPr>
      </w:pPr>
      <w:r>
        <w:rPr>
          <w:b/>
          <w:szCs w:val="20"/>
          <w:highlight w:val="none"/>
        </w:rPr>
        <w:t>Detalhamento</w:t>
      </w:r>
      <w:r>
        <w:rPr>
          <w:b/>
          <w:szCs w:val="20"/>
          <w:highlight w:val="none"/>
          <w:lang w:eastAsia="pt-BR"/>
        </w:rPr>
        <w:t xml:space="preserve"> dos Encargos Sociais – Horista e Mensalista – Sem Desoneração (preenchido)</w:t>
      </w:r>
    </w:p>
    <w:p>
      <w:pPr>
        <w:jc w:val="center"/>
        <w:rPr>
          <w:szCs w:val="20"/>
          <w:highlight w:val="none"/>
          <w:lang w:eastAsia="pt-BR"/>
        </w:rPr>
      </w:pPr>
    </w:p>
    <w:p>
      <w:pPr>
        <w:jc w:val="center"/>
        <w:rPr>
          <w:b/>
          <w:szCs w:val="20"/>
          <w:highlight w:val="none"/>
        </w:rPr>
      </w:pPr>
      <w:r>
        <w:rPr>
          <w:b/>
          <w:szCs w:val="20"/>
          <w:highlight w:val="none"/>
          <w:lang w:eastAsia="pt-BR"/>
        </w:rPr>
        <w:t>QUADRO DES (preenchido)</w:t>
      </w:r>
    </w:p>
    <w:p>
      <w:pPr>
        <w:rPr>
          <w:szCs w:val="20"/>
          <w:highlight w:val="none"/>
        </w:rPr>
      </w:pPr>
    </w:p>
    <w:p>
      <w:pPr>
        <w:rPr>
          <w:szCs w:val="20"/>
          <w:highlight w:val="none"/>
        </w:rPr>
      </w:pPr>
    </w:p>
    <w:tbl>
      <w:tblPr>
        <w:tblStyle w:val="30"/>
        <w:tblW w:w="9185"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4"/>
        <w:gridCol w:w="5349"/>
        <w:gridCol w:w="1416"/>
        <w:gridCol w:w="17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5993" w:type="dxa"/>
            <w:gridSpan w:val="2"/>
            <w:vMerge w:val="restart"/>
            <w:shd w:val="clear" w:color="auto" w:fill="auto"/>
            <w:vAlign w:val="center"/>
          </w:tcPr>
          <w:p>
            <w:pPr>
              <w:jc w:val="center"/>
              <w:rPr>
                <w:b/>
                <w:szCs w:val="20"/>
                <w:highlight w:val="none"/>
              </w:rPr>
            </w:pPr>
            <w:r>
              <w:rPr>
                <w:b/>
                <w:szCs w:val="20"/>
                <w:highlight w:val="none"/>
              </w:rPr>
              <w:t>DISCRIMINAÇÃO</w:t>
            </w:r>
          </w:p>
        </w:tc>
        <w:tc>
          <w:tcPr>
            <w:tcW w:w="1416" w:type="dxa"/>
            <w:shd w:val="clear" w:color="auto" w:fill="auto"/>
            <w:vAlign w:val="center"/>
          </w:tcPr>
          <w:p>
            <w:pPr>
              <w:jc w:val="center"/>
              <w:rPr>
                <w:b/>
                <w:szCs w:val="20"/>
                <w:highlight w:val="none"/>
              </w:rPr>
            </w:pPr>
            <w:r>
              <w:rPr>
                <w:b/>
                <w:szCs w:val="20"/>
                <w:highlight w:val="none"/>
              </w:rPr>
              <w:t>HORISTA</w:t>
            </w:r>
          </w:p>
        </w:tc>
        <w:tc>
          <w:tcPr>
            <w:tcW w:w="1776" w:type="dxa"/>
            <w:shd w:val="clear" w:color="auto" w:fill="auto"/>
            <w:vAlign w:val="center"/>
          </w:tcPr>
          <w:p>
            <w:pPr>
              <w:jc w:val="center"/>
              <w:rPr>
                <w:b/>
                <w:szCs w:val="20"/>
                <w:highlight w:val="none"/>
              </w:rPr>
            </w:pPr>
            <w:r>
              <w:rPr>
                <w:b/>
                <w:szCs w:val="20"/>
                <w:highlight w:val="none"/>
              </w:rPr>
              <w:t>MENSALISTA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5993" w:type="dxa"/>
            <w:gridSpan w:val="2"/>
            <w:vMerge w:val="continue"/>
            <w:shd w:val="clear" w:color="auto" w:fill="auto"/>
            <w:vAlign w:val="center"/>
          </w:tcPr>
          <w:p>
            <w:pPr>
              <w:rPr>
                <w:szCs w:val="20"/>
                <w:highlight w:val="none"/>
              </w:rPr>
            </w:pPr>
          </w:p>
        </w:tc>
        <w:tc>
          <w:tcPr>
            <w:tcW w:w="1416" w:type="dxa"/>
            <w:shd w:val="clear" w:color="auto" w:fill="auto"/>
            <w:vAlign w:val="center"/>
          </w:tcPr>
          <w:p>
            <w:pPr>
              <w:jc w:val="center"/>
              <w:rPr>
                <w:b/>
                <w:szCs w:val="20"/>
                <w:highlight w:val="none"/>
              </w:rPr>
            </w:pPr>
            <w:r>
              <w:rPr>
                <w:b/>
                <w:szCs w:val="20"/>
                <w:highlight w:val="none"/>
              </w:rPr>
              <w:t>%</w:t>
            </w:r>
          </w:p>
        </w:tc>
        <w:tc>
          <w:tcPr>
            <w:tcW w:w="1776" w:type="dxa"/>
            <w:shd w:val="clear" w:color="auto" w:fill="auto"/>
            <w:vAlign w:val="center"/>
          </w:tcPr>
          <w:p>
            <w:pPr>
              <w:jc w:val="center"/>
              <w:rPr>
                <w:b/>
                <w:szCs w:val="20"/>
                <w:highlight w:val="none"/>
              </w:rPr>
            </w:pPr>
            <w:r>
              <w:rPr>
                <w:b/>
                <w:szCs w:val="20"/>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b/>
                <w:szCs w:val="20"/>
                <w:highlight w:val="none"/>
              </w:rPr>
            </w:pPr>
            <w:r>
              <w:rPr>
                <w:b/>
                <w:szCs w:val="20"/>
                <w:highlight w:val="none"/>
              </w:rPr>
              <w:t>A</w:t>
            </w:r>
          </w:p>
        </w:tc>
        <w:tc>
          <w:tcPr>
            <w:tcW w:w="8541" w:type="dxa"/>
            <w:gridSpan w:val="3"/>
            <w:shd w:val="clear" w:color="auto" w:fill="auto"/>
            <w:vAlign w:val="center"/>
          </w:tcPr>
          <w:p>
            <w:pPr>
              <w:rPr>
                <w:b/>
                <w:szCs w:val="20"/>
                <w:highlight w:val="none"/>
              </w:rPr>
            </w:pPr>
            <w:r>
              <w:rPr>
                <w:b/>
                <w:szCs w:val="20"/>
                <w:highlight w:val="none"/>
              </w:rPr>
              <w:t>ENCARGOS SOCIAIS BÁSICOS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r>
              <w:rPr>
                <w:szCs w:val="20"/>
                <w:highlight w:val="none"/>
              </w:rPr>
              <w:t>A1</w:t>
            </w:r>
          </w:p>
        </w:tc>
        <w:tc>
          <w:tcPr>
            <w:tcW w:w="5349" w:type="dxa"/>
            <w:shd w:val="clear" w:color="auto" w:fill="auto"/>
            <w:vAlign w:val="center"/>
          </w:tcPr>
          <w:p>
            <w:pPr>
              <w:rPr>
                <w:szCs w:val="20"/>
                <w:highlight w:val="none"/>
              </w:rPr>
            </w:pPr>
            <w:r>
              <w:rPr>
                <w:szCs w:val="20"/>
                <w:highlight w:val="none"/>
              </w:rPr>
              <w:t>INSS</w:t>
            </w:r>
          </w:p>
        </w:tc>
        <w:tc>
          <w:tcPr>
            <w:tcW w:w="1416" w:type="dxa"/>
            <w:shd w:val="clear" w:color="auto" w:fill="auto"/>
            <w:vAlign w:val="center"/>
          </w:tcPr>
          <w:p>
            <w:pPr>
              <w:jc w:val="center"/>
              <w:rPr>
                <w:szCs w:val="20"/>
                <w:highlight w:val="none"/>
              </w:rPr>
            </w:pPr>
            <w:r>
              <w:rPr>
                <w:szCs w:val="20"/>
                <w:highlight w:val="none"/>
              </w:rPr>
              <w:t>20,00</w:t>
            </w:r>
          </w:p>
        </w:tc>
        <w:tc>
          <w:tcPr>
            <w:tcW w:w="1776" w:type="dxa"/>
            <w:shd w:val="clear" w:color="auto" w:fill="auto"/>
            <w:vAlign w:val="center"/>
          </w:tcPr>
          <w:p>
            <w:pPr>
              <w:jc w:val="center"/>
              <w:rPr>
                <w:szCs w:val="20"/>
                <w:highlight w:val="none"/>
              </w:rPr>
            </w:pPr>
            <w:r>
              <w:rPr>
                <w:szCs w:val="20"/>
                <w:highlight w:val="none"/>
              </w:rPr>
              <w:t>20,00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r>
              <w:rPr>
                <w:szCs w:val="20"/>
                <w:highlight w:val="none"/>
              </w:rPr>
              <w:t>A2</w:t>
            </w:r>
          </w:p>
        </w:tc>
        <w:tc>
          <w:tcPr>
            <w:tcW w:w="5349" w:type="dxa"/>
            <w:shd w:val="clear" w:color="auto" w:fill="auto"/>
            <w:vAlign w:val="center"/>
          </w:tcPr>
          <w:p>
            <w:pPr>
              <w:rPr>
                <w:szCs w:val="20"/>
                <w:highlight w:val="none"/>
              </w:rPr>
            </w:pPr>
            <w:r>
              <w:rPr>
                <w:szCs w:val="20"/>
                <w:highlight w:val="none"/>
              </w:rPr>
              <w:t>SESI</w:t>
            </w:r>
          </w:p>
        </w:tc>
        <w:tc>
          <w:tcPr>
            <w:tcW w:w="1416" w:type="dxa"/>
            <w:shd w:val="clear" w:color="auto" w:fill="auto"/>
            <w:vAlign w:val="center"/>
          </w:tcPr>
          <w:p>
            <w:pPr>
              <w:jc w:val="center"/>
              <w:rPr>
                <w:szCs w:val="20"/>
                <w:highlight w:val="none"/>
              </w:rPr>
            </w:pPr>
            <w:r>
              <w:rPr>
                <w:szCs w:val="20"/>
                <w:highlight w:val="none"/>
              </w:rPr>
              <w:t>1,50</w:t>
            </w:r>
          </w:p>
        </w:tc>
        <w:tc>
          <w:tcPr>
            <w:tcW w:w="1776" w:type="dxa"/>
            <w:shd w:val="clear" w:color="auto" w:fill="auto"/>
            <w:vAlign w:val="center"/>
          </w:tcPr>
          <w:p>
            <w:pPr>
              <w:jc w:val="center"/>
              <w:rPr>
                <w:szCs w:val="20"/>
                <w:highlight w:val="none"/>
              </w:rPr>
            </w:pPr>
            <w:r>
              <w:rPr>
                <w:szCs w:val="20"/>
                <w:highlight w:val="none"/>
              </w:rPr>
              <w:t>1,50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r>
              <w:rPr>
                <w:szCs w:val="20"/>
                <w:highlight w:val="none"/>
              </w:rPr>
              <w:t>A3</w:t>
            </w:r>
          </w:p>
        </w:tc>
        <w:tc>
          <w:tcPr>
            <w:tcW w:w="5349" w:type="dxa"/>
            <w:shd w:val="clear" w:color="auto" w:fill="auto"/>
            <w:vAlign w:val="center"/>
          </w:tcPr>
          <w:p>
            <w:pPr>
              <w:rPr>
                <w:szCs w:val="20"/>
                <w:highlight w:val="none"/>
              </w:rPr>
            </w:pPr>
            <w:r>
              <w:rPr>
                <w:szCs w:val="20"/>
                <w:highlight w:val="none"/>
              </w:rPr>
              <w:t>SENAI</w:t>
            </w:r>
          </w:p>
        </w:tc>
        <w:tc>
          <w:tcPr>
            <w:tcW w:w="1416" w:type="dxa"/>
            <w:shd w:val="clear" w:color="auto" w:fill="auto"/>
            <w:vAlign w:val="center"/>
          </w:tcPr>
          <w:p>
            <w:pPr>
              <w:jc w:val="center"/>
              <w:rPr>
                <w:szCs w:val="20"/>
                <w:highlight w:val="none"/>
              </w:rPr>
            </w:pPr>
            <w:r>
              <w:rPr>
                <w:szCs w:val="20"/>
                <w:highlight w:val="none"/>
              </w:rPr>
              <w:t>1,00</w:t>
            </w:r>
          </w:p>
        </w:tc>
        <w:tc>
          <w:tcPr>
            <w:tcW w:w="1776" w:type="dxa"/>
            <w:shd w:val="clear" w:color="auto" w:fill="auto"/>
            <w:vAlign w:val="center"/>
          </w:tcPr>
          <w:p>
            <w:pPr>
              <w:jc w:val="center"/>
              <w:rPr>
                <w:szCs w:val="20"/>
                <w:highlight w:val="none"/>
              </w:rPr>
            </w:pPr>
            <w:r>
              <w:rPr>
                <w:szCs w:val="20"/>
                <w:highlight w:val="none"/>
              </w:rPr>
              <w:t>1,00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r>
              <w:rPr>
                <w:szCs w:val="20"/>
                <w:highlight w:val="none"/>
              </w:rPr>
              <w:t>A4</w:t>
            </w:r>
          </w:p>
        </w:tc>
        <w:tc>
          <w:tcPr>
            <w:tcW w:w="5349" w:type="dxa"/>
            <w:shd w:val="clear" w:color="auto" w:fill="auto"/>
            <w:vAlign w:val="center"/>
          </w:tcPr>
          <w:p>
            <w:pPr>
              <w:rPr>
                <w:szCs w:val="20"/>
                <w:highlight w:val="none"/>
              </w:rPr>
            </w:pPr>
            <w:r>
              <w:rPr>
                <w:szCs w:val="20"/>
                <w:highlight w:val="none"/>
              </w:rPr>
              <w:t>INCRA</w:t>
            </w:r>
          </w:p>
        </w:tc>
        <w:tc>
          <w:tcPr>
            <w:tcW w:w="1416" w:type="dxa"/>
            <w:shd w:val="clear" w:color="auto" w:fill="auto"/>
            <w:vAlign w:val="center"/>
          </w:tcPr>
          <w:p>
            <w:pPr>
              <w:jc w:val="center"/>
              <w:rPr>
                <w:szCs w:val="20"/>
                <w:highlight w:val="none"/>
              </w:rPr>
            </w:pPr>
            <w:r>
              <w:rPr>
                <w:szCs w:val="20"/>
                <w:highlight w:val="none"/>
              </w:rPr>
              <w:t>0,20</w:t>
            </w:r>
          </w:p>
        </w:tc>
        <w:tc>
          <w:tcPr>
            <w:tcW w:w="1776" w:type="dxa"/>
            <w:shd w:val="clear" w:color="auto" w:fill="auto"/>
            <w:vAlign w:val="center"/>
          </w:tcPr>
          <w:p>
            <w:pPr>
              <w:jc w:val="center"/>
              <w:rPr>
                <w:szCs w:val="20"/>
                <w:highlight w:val="none"/>
              </w:rPr>
            </w:pPr>
            <w:r>
              <w:rPr>
                <w:szCs w:val="20"/>
                <w:highlight w:val="none"/>
              </w:rPr>
              <w:t>0,20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206" w:hRule="atLeast"/>
          <w:jc w:val="center"/>
        </w:trPr>
        <w:tc>
          <w:tcPr>
            <w:tcW w:w="644" w:type="dxa"/>
            <w:shd w:val="clear" w:color="auto" w:fill="auto"/>
            <w:vAlign w:val="center"/>
          </w:tcPr>
          <w:p>
            <w:pPr>
              <w:jc w:val="center"/>
              <w:rPr>
                <w:szCs w:val="20"/>
                <w:highlight w:val="none"/>
              </w:rPr>
            </w:pPr>
            <w:r>
              <w:rPr>
                <w:szCs w:val="20"/>
                <w:highlight w:val="none"/>
              </w:rPr>
              <w:t>A5</w:t>
            </w:r>
          </w:p>
        </w:tc>
        <w:tc>
          <w:tcPr>
            <w:tcW w:w="5349" w:type="dxa"/>
            <w:shd w:val="clear" w:color="auto" w:fill="auto"/>
            <w:vAlign w:val="center"/>
          </w:tcPr>
          <w:p>
            <w:pPr>
              <w:rPr>
                <w:szCs w:val="20"/>
                <w:highlight w:val="none"/>
              </w:rPr>
            </w:pPr>
            <w:r>
              <w:rPr>
                <w:szCs w:val="20"/>
                <w:highlight w:val="none"/>
              </w:rPr>
              <w:t>SEBRAE</w:t>
            </w:r>
          </w:p>
        </w:tc>
        <w:tc>
          <w:tcPr>
            <w:tcW w:w="1416" w:type="dxa"/>
            <w:shd w:val="clear" w:color="auto" w:fill="auto"/>
            <w:vAlign w:val="center"/>
          </w:tcPr>
          <w:p>
            <w:pPr>
              <w:jc w:val="center"/>
              <w:rPr>
                <w:szCs w:val="20"/>
                <w:highlight w:val="none"/>
              </w:rPr>
            </w:pPr>
            <w:r>
              <w:rPr>
                <w:szCs w:val="20"/>
                <w:highlight w:val="none"/>
              </w:rPr>
              <w:t>0,60</w:t>
            </w:r>
          </w:p>
        </w:tc>
        <w:tc>
          <w:tcPr>
            <w:tcW w:w="1776" w:type="dxa"/>
            <w:shd w:val="clear" w:color="auto" w:fill="auto"/>
            <w:vAlign w:val="center"/>
          </w:tcPr>
          <w:p>
            <w:pPr>
              <w:jc w:val="center"/>
              <w:rPr>
                <w:szCs w:val="20"/>
                <w:highlight w:val="none"/>
              </w:rPr>
            </w:pPr>
            <w:r>
              <w:rPr>
                <w:szCs w:val="20"/>
                <w:highlight w:val="none"/>
              </w:rPr>
              <w:t>0,60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r>
              <w:rPr>
                <w:szCs w:val="20"/>
                <w:highlight w:val="none"/>
              </w:rPr>
              <w:t>A6</w:t>
            </w:r>
          </w:p>
        </w:tc>
        <w:tc>
          <w:tcPr>
            <w:tcW w:w="5349" w:type="dxa"/>
            <w:shd w:val="clear" w:color="auto" w:fill="auto"/>
            <w:vAlign w:val="center"/>
          </w:tcPr>
          <w:p>
            <w:pPr>
              <w:rPr>
                <w:szCs w:val="20"/>
                <w:highlight w:val="none"/>
              </w:rPr>
            </w:pPr>
            <w:r>
              <w:rPr>
                <w:szCs w:val="20"/>
                <w:highlight w:val="none"/>
              </w:rPr>
              <w:t>Salário Educação</w:t>
            </w:r>
          </w:p>
        </w:tc>
        <w:tc>
          <w:tcPr>
            <w:tcW w:w="1416" w:type="dxa"/>
            <w:shd w:val="clear" w:color="auto" w:fill="auto"/>
            <w:vAlign w:val="center"/>
          </w:tcPr>
          <w:p>
            <w:pPr>
              <w:jc w:val="center"/>
              <w:rPr>
                <w:szCs w:val="20"/>
                <w:highlight w:val="none"/>
              </w:rPr>
            </w:pPr>
            <w:r>
              <w:rPr>
                <w:szCs w:val="20"/>
                <w:highlight w:val="none"/>
              </w:rPr>
              <w:t>2,50</w:t>
            </w:r>
          </w:p>
        </w:tc>
        <w:tc>
          <w:tcPr>
            <w:tcW w:w="1776" w:type="dxa"/>
            <w:shd w:val="clear" w:color="auto" w:fill="auto"/>
            <w:vAlign w:val="center"/>
          </w:tcPr>
          <w:p>
            <w:pPr>
              <w:jc w:val="center"/>
              <w:rPr>
                <w:szCs w:val="20"/>
                <w:highlight w:val="none"/>
              </w:rPr>
            </w:pPr>
            <w:r>
              <w:rPr>
                <w:szCs w:val="20"/>
                <w:highlight w:val="none"/>
              </w:rPr>
              <w:t>2,50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r>
              <w:rPr>
                <w:szCs w:val="20"/>
                <w:highlight w:val="none"/>
              </w:rPr>
              <w:t>A7</w:t>
            </w:r>
          </w:p>
        </w:tc>
        <w:tc>
          <w:tcPr>
            <w:tcW w:w="5349" w:type="dxa"/>
            <w:shd w:val="clear" w:color="auto" w:fill="auto"/>
            <w:vAlign w:val="center"/>
          </w:tcPr>
          <w:p>
            <w:pPr>
              <w:rPr>
                <w:szCs w:val="20"/>
                <w:highlight w:val="none"/>
              </w:rPr>
            </w:pPr>
            <w:r>
              <w:rPr>
                <w:szCs w:val="20"/>
                <w:highlight w:val="none"/>
              </w:rPr>
              <w:t>Seguro Contra Acidente de Trabalho</w:t>
            </w:r>
          </w:p>
        </w:tc>
        <w:tc>
          <w:tcPr>
            <w:tcW w:w="1416" w:type="dxa"/>
            <w:shd w:val="clear" w:color="auto" w:fill="auto"/>
            <w:vAlign w:val="center"/>
          </w:tcPr>
          <w:p>
            <w:pPr>
              <w:jc w:val="center"/>
              <w:rPr>
                <w:szCs w:val="20"/>
                <w:highlight w:val="none"/>
              </w:rPr>
            </w:pPr>
            <w:r>
              <w:rPr>
                <w:szCs w:val="20"/>
                <w:highlight w:val="none"/>
              </w:rPr>
              <w:t>3,00</w:t>
            </w:r>
          </w:p>
        </w:tc>
        <w:tc>
          <w:tcPr>
            <w:tcW w:w="1776" w:type="dxa"/>
            <w:shd w:val="clear" w:color="auto" w:fill="auto"/>
            <w:vAlign w:val="center"/>
          </w:tcPr>
          <w:p>
            <w:pPr>
              <w:jc w:val="center"/>
              <w:rPr>
                <w:szCs w:val="20"/>
                <w:highlight w:val="none"/>
              </w:rPr>
            </w:pPr>
            <w:r>
              <w:rPr>
                <w:szCs w:val="20"/>
                <w:highlight w:val="none"/>
              </w:rPr>
              <w:t>3,00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r>
              <w:rPr>
                <w:szCs w:val="20"/>
                <w:highlight w:val="none"/>
              </w:rPr>
              <w:t>A8</w:t>
            </w:r>
          </w:p>
        </w:tc>
        <w:tc>
          <w:tcPr>
            <w:tcW w:w="5349" w:type="dxa"/>
            <w:shd w:val="clear" w:color="auto" w:fill="auto"/>
            <w:vAlign w:val="center"/>
          </w:tcPr>
          <w:p>
            <w:pPr>
              <w:rPr>
                <w:szCs w:val="20"/>
                <w:highlight w:val="none"/>
              </w:rPr>
            </w:pPr>
            <w:r>
              <w:rPr>
                <w:szCs w:val="20"/>
                <w:highlight w:val="none"/>
              </w:rPr>
              <w:t>FGTS</w:t>
            </w:r>
          </w:p>
        </w:tc>
        <w:tc>
          <w:tcPr>
            <w:tcW w:w="1416" w:type="dxa"/>
            <w:shd w:val="clear" w:color="auto" w:fill="auto"/>
            <w:vAlign w:val="center"/>
          </w:tcPr>
          <w:p>
            <w:pPr>
              <w:jc w:val="center"/>
              <w:rPr>
                <w:szCs w:val="20"/>
                <w:highlight w:val="none"/>
              </w:rPr>
            </w:pPr>
            <w:r>
              <w:rPr>
                <w:szCs w:val="20"/>
                <w:highlight w:val="none"/>
              </w:rPr>
              <w:t>8,00</w:t>
            </w:r>
          </w:p>
        </w:tc>
        <w:tc>
          <w:tcPr>
            <w:tcW w:w="1776" w:type="dxa"/>
            <w:shd w:val="clear" w:color="auto" w:fill="auto"/>
            <w:vAlign w:val="center"/>
          </w:tcPr>
          <w:p>
            <w:pPr>
              <w:jc w:val="center"/>
              <w:rPr>
                <w:szCs w:val="20"/>
                <w:highlight w:val="none"/>
              </w:rPr>
            </w:pPr>
            <w:r>
              <w:rPr>
                <w:szCs w:val="20"/>
                <w:highlight w:val="none"/>
              </w:rPr>
              <w:t>8,00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r>
              <w:rPr>
                <w:szCs w:val="20"/>
                <w:highlight w:val="none"/>
              </w:rPr>
              <w:t>A9</w:t>
            </w:r>
          </w:p>
        </w:tc>
        <w:tc>
          <w:tcPr>
            <w:tcW w:w="5349" w:type="dxa"/>
            <w:shd w:val="clear" w:color="auto" w:fill="auto"/>
            <w:vAlign w:val="center"/>
          </w:tcPr>
          <w:p>
            <w:pPr>
              <w:rPr>
                <w:szCs w:val="20"/>
                <w:highlight w:val="none"/>
              </w:rPr>
            </w:pPr>
            <w:r>
              <w:rPr>
                <w:szCs w:val="20"/>
                <w:highlight w:val="none"/>
              </w:rPr>
              <w:t>SECONCI</w:t>
            </w:r>
          </w:p>
        </w:tc>
        <w:tc>
          <w:tcPr>
            <w:tcW w:w="1416" w:type="dxa"/>
            <w:shd w:val="clear" w:color="auto" w:fill="auto"/>
            <w:vAlign w:val="center"/>
          </w:tcPr>
          <w:p>
            <w:pPr>
              <w:jc w:val="center"/>
              <w:rPr>
                <w:rFonts w:hint="default"/>
                <w:szCs w:val="20"/>
                <w:highlight w:val="none"/>
                <w:lang w:val="pt-BR"/>
              </w:rPr>
            </w:pPr>
            <w:r>
              <w:rPr>
                <w:rFonts w:hint="default"/>
                <w:szCs w:val="20"/>
                <w:highlight w:val="none"/>
                <w:lang w:val="pt-BR"/>
              </w:rPr>
              <w:t>0,00</w:t>
            </w:r>
          </w:p>
        </w:tc>
        <w:tc>
          <w:tcPr>
            <w:tcW w:w="1776" w:type="dxa"/>
            <w:shd w:val="clear" w:color="auto" w:fill="auto"/>
            <w:vAlign w:val="center"/>
          </w:tcPr>
          <w:p>
            <w:pPr>
              <w:jc w:val="center"/>
              <w:rPr>
                <w:rFonts w:hint="default"/>
                <w:szCs w:val="20"/>
                <w:highlight w:val="none"/>
                <w:lang w:val="pt-BR"/>
              </w:rPr>
            </w:pPr>
            <w:r>
              <w:rPr>
                <w:rFonts w:hint="default"/>
                <w:szCs w:val="20"/>
                <w:highlight w:val="none"/>
                <w:lang w:val="pt-BR"/>
              </w:rPr>
              <w:t>0,00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5993" w:type="dxa"/>
            <w:gridSpan w:val="2"/>
            <w:shd w:val="clear" w:color="auto" w:fill="auto"/>
            <w:vAlign w:val="center"/>
          </w:tcPr>
          <w:p>
            <w:pPr>
              <w:jc w:val="right"/>
              <w:rPr>
                <w:b/>
                <w:szCs w:val="20"/>
                <w:highlight w:val="none"/>
              </w:rPr>
            </w:pPr>
            <w:r>
              <w:rPr>
                <w:b/>
                <w:szCs w:val="20"/>
                <w:highlight w:val="none"/>
              </w:rPr>
              <w:t>SUBTOTAL DE “A”:</w:t>
            </w:r>
          </w:p>
        </w:tc>
        <w:tc>
          <w:tcPr>
            <w:tcW w:w="1416" w:type="dxa"/>
            <w:shd w:val="clear" w:color="auto" w:fill="auto"/>
            <w:vAlign w:val="center"/>
          </w:tcPr>
          <w:p>
            <w:pPr>
              <w:jc w:val="center"/>
              <w:rPr>
                <w:b/>
                <w:szCs w:val="20"/>
                <w:highlight w:val="none"/>
              </w:rPr>
            </w:pPr>
            <w:r>
              <w:rPr>
                <w:b/>
                <w:szCs w:val="20"/>
                <w:highlight w:val="none"/>
              </w:rPr>
              <w:t>3</w:t>
            </w:r>
            <w:r>
              <w:rPr>
                <w:rFonts w:hint="default"/>
                <w:b/>
                <w:szCs w:val="20"/>
                <w:highlight w:val="none"/>
                <w:lang w:val="pt-BR"/>
              </w:rPr>
              <w:t>6</w:t>
            </w:r>
            <w:r>
              <w:rPr>
                <w:b/>
                <w:szCs w:val="20"/>
                <w:highlight w:val="none"/>
              </w:rPr>
              <w:t>,</w:t>
            </w:r>
            <w:r>
              <w:rPr>
                <w:rFonts w:hint="default"/>
                <w:b/>
                <w:szCs w:val="20"/>
                <w:highlight w:val="none"/>
                <w:lang w:val="pt-BR"/>
              </w:rPr>
              <w:t>8</w:t>
            </w:r>
            <w:r>
              <w:rPr>
                <w:b/>
                <w:szCs w:val="20"/>
                <w:highlight w:val="none"/>
              </w:rPr>
              <w:t>0</w:t>
            </w:r>
          </w:p>
        </w:tc>
        <w:tc>
          <w:tcPr>
            <w:tcW w:w="1776" w:type="dxa"/>
            <w:shd w:val="clear" w:color="auto" w:fill="auto"/>
            <w:vAlign w:val="center"/>
          </w:tcPr>
          <w:p>
            <w:pPr>
              <w:jc w:val="center"/>
              <w:rPr>
                <w:b/>
                <w:szCs w:val="20"/>
                <w:highlight w:val="none"/>
              </w:rPr>
            </w:pPr>
            <w:r>
              <w:rPr>
                <w:b/>
                <w:szCs w:val="20"/>
                <w:highlight w:val="none"/>
              </w:rPr>
              <w:t>3</w:t>
            </w:r>
            <w:r>
              <w:rPr>
                <w:rFonts w:hint="default"/>
                <w:b/>
                <w:szCs w:val="20"/>
                <w:highlight w:val="none"/>
                <w:lang w:val="pt-BR"/>
              </w:rPr>
              <w:t>6</w:t>
            </w:r>
            <w:r>
              <w:rPr>
                <w:b/>
                <w:szCs w:val="20"/>
                <w:highlight w:val="none"/>
              </w:rPr>
              <w:t>,</w:t>
            </w:r>
            <w:r>
              <w:rPr>
                <w:rFonts w:hint="default"/>
                <w:b/>
                <w:szCs w:val="20"/>
                <w:highlight w:val="none"/>
                <w:lang w:val="pt-BR"/>
              </w:rPr>
              <w:t>8</w:t>
            </w:r>
            <w:r>
              <w:rPr>
                <w:b/>
                <w:szCs w:val="20"/>
                <w:highlight w:val="none"/>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b/>
                <w:szCs w:val="20"/>
                <w:highlight w:val="none"/>
              </w:rPr>
            </w:pPr>
            <w:r>
              <w:rPr>
                <w:b/>
                <w:szCs w:val="20"/>
                <w:highlight w:val="none"/>
              </w:rPr>
              <w:t>B</w:t>
            </w:r>
          </w:p>
        </w:tc>
        <w:tc>
          <w:tcPr>
            <w:tcW w:w="8541" w:type="dxa"/>
            <w:gridSpan w:val="3"/>
            <w:shd w:val="clear" w:color="auto" w:fill="auto"/>
            <w:vAlign w:val="center"/>
          </w:tcPr>
          <w:p>
            <w:pPr>
              <w:rPr>
                <w:b/>
                <w:szCs w:val="20"/>
                <w:highlight w:val="none"/>
              </w:rPr>
            </w:pPr>
            <w:r>
              <w:rPr>
                <w:b/>
                <w:szCs w:val="20"/>
                <w:highlight w:val="none"/>
              </w:rPr>
              <w:t>ENCARGOS SOCIAIS QUE RECEBEM INCIDÊNCIA DE “A”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r>
              <w:rPr>
                <w:szCs w:val="20"/>
                <w:highlight w:val="none"/>
              </w:rPr>
              <w:t>B1</w:t>
            </w:r>
          </w:p>
        </w:tc>
        <w:tc>
          <w:tcPr>
            <w:tcW w:w="5349" w:type="dxa"/>
            <w:shd w:val="clear" w:color="auto" w:fill="auto"/>
            <w:vAlign w:val="center"/>
          </w:tcPr>
          <w:p>
            <w:pPr>
              <w:rPr>
                <w:szCs w:val="20"/>
                <w:highlight w:val="none"/>
              </w:rPr>
            </w:pPr>
            <w:r>
              <w:rPr>
                <w:szCs w:val="20"/>
                <w:highlight w:val="none"/>
              </w:rPr>
              <w:t>Repouso Semanal Remunerado</w:t>
            </w:r>
          </w:p>
        </w:tc>
        <w:tc>
          <w:tcPr>
            <w:tcW w:w="1416" w:type="dxa"/>
            <w:shd w:val="clear" w:color="auto" w:fill="auto"/>
            <w:vAlign w:val="center"/>
          </w:tcPr>
          <w:p>
            <w:pPr>
              <w:jc w:val="center"/>
              <w:rPr>
                <w:szCs w:val="20"/>
                <w:highlight w:val="none"/>
              </w:rPr>
            </w:pPr>
            <w:r>
              <w:rPr>
                <w:szCs w:val="20"/>
                <w:highlight w:val="none"/>
              </w:rPr>
              <w:t>17,79</w:t>
            </w:r>
          </w:p>
        </w:tc>
        <w:tc>
          <w:tcPr>
            <w:tcW w:w="1776" w:type="dxa"/>
            <w:shd w:val="clear" w:color="auto" w:fill="auto"/>
            <w:vAlign w:val="center"/>
          </w:tcPr>
          <w:p>
            <w:pPr>
              <w:jc w:val="center"/>
              <w:rPr>
                <w:szCs w:val="20"/>
                <w:highlight w:val="none"/>
              </w:rPr>
            </w:pPr>
            <w:r>
              <w:rPr>
                <w:szCs w:val="20"/>
                <w:highlight w:val="none"/>
              </w:rPr>
              <w:t>Não incide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r>
              <w:rPr>
                <w:szCs w:val="20"/>
                <w:highlight w:val="none"/>
              </w:rPr>
              <w:t>B2</w:t>
            </w:r>
          </w:p>
        </w:tc>
        <w:tc>
          <w:tcPr>
            <w:tcW w:w="5349" w:type="dxa"/>
            <w:shd w:val="clear" w:color="auto" w:fill="auto"/>
            <w:vAlign w:val="center"/>
          </w:tcPr>
          <w:p>
            <w:pPr>
              <w:rPr>
                <w:szCs w:val="20"/>
                <w:highlight w:val="none"/>
              </w:rPr>
            </w:pPr>
            <w:r>
              <w:rPr>
                <w:szCs w:val="20"/>
                <w:highlight w:val="none"/>
              </w:rPr>
              <w:t>Feriados</w:t>
            </w:r>
          </w:p>
        </w:tc>
        <w:tc>
          <w:tcPr>
            <w:tcW w:w="1416" w:type="dxa"/>
            <w:shd w:val="clear" w:color="auto" w:fill="auto"/>
            <w:vAlign w:val="center"/>
          </w:tcPr>
          <w:p>
            <w:pPr>
              <w:jc w:val="center"/>
              <w:rPr>
                <w:rFonts w:hint="default"/>
                <w:szCs w:val="20"/>
                <w:highlight w:val="none"/>
                <w:lang w:val="pt-BR"/>
              </w:rPr>
            </w:pPr>
            <w:r>
              <w:rPr>
                <w:szCs w:val="20"/>
                <w:highlight w:val="none"/>
              </w:rPr>
              <w:t>3,</w:t>
            </w:r>
            <w:r>
              <w:rPr>
                <w:rFonts w:hint="default"/>
                <w:szCs w:val="20"/>
                <w:highlight w:val="none"/>
                <w:lang w:val="pt-BR"/>
              </w:rPr>
              <w:t>97</w:t>
            </w:r>
          </w:p>
        </w:tc>
        <w:tc>
          <w:tcPr>
            <w:tcW w:w="1776" w:type="dxa"/>
            <w:shd w:val="clear" w:color="auto" w:fill="auto"/>
            <w:vAlign w:val="center"/>
          </w:tcPr>
          <w:p>
            <w:pPr>
              <w:jc w:val="center"/>
              <w:rPr>
                <w:szCs w:val="20"/>
                <w:highlight w:val="none"/>
              </w:rPr>
            </w:pPr>
            <w:r>
              <w:rPr>
                <w:szCs w:val="20"/>
                <w:highlight w:val="none"/>
              </w:rPr>
              <w:t>Não incide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r>
              <w:rPr>
                <w:szCs w:val="20"/>
                <w:highlight w:val="none"/>
              </w:rPr>
              <w:t>B3</w:t>
            </w:r>
          </w:p>
        </w:tc>
        <w:tc>
          <w:tcPr>
            <w:tcW w:w="5349" w:type="dxa"/>
            <w:shd w:val="clear" w:color="auto" w:fill="auto"/>
            <w:vAlign w:val="center"/>
          </w:tcPr>
          <w:p>
            <w:pPr>
              <w:rPr>
                <w:szCs w:val="20"/>
                <w:highlight w:val="none"/>
              </w:rPr>
            </w:pPr>
            <w:r>
              <w:rPr>
                <w:szCs w:val="20"/>
                <w:highlight w:val="none"/>
              </w:rPr>
              <w:t>Auxílio-Enfermidade</w:t>
            </w:r>
          </w:p>
        </w:tc>
        <w:tc>
          <w:tcPr>
            <w:tcW w:w="1416" w:type="dxa"/>
            <w:shd w:val="clear" w:color="auto" w:fill="auto"/>
            <w:vAlign w:val="center"/>
          </w:tcPr>
          <w:p>
            <w:pPr>
              <w:jc w:val="center"/>
              <w:rPr>
                <w:rFonts w:hint="default"/>
                <w:szCs w:val="20"/>
                <w:highlight w:val="none"/>
                <w:lang w:val="pt-BR"/>
              </w:rPr>
            </w:pPr>
            <w:r>
              <w:rPr>
                <w:szCs w:val="20"/>
                <w:highlight w:val="none"/>
              </w:rPr>
              <w:t>0,</w:t>
            </w:r>
            <w:r>
              <w:rPr>
                <w:rFonts w:hint="default"/>
                <w:szCs w:val="20"/>
                <w:highlight w:val="none"/>
                <w:lang w:val="pt-BR"/>
              </w:rPr>
              <w:t>88</w:t>
            </w:r>
          </w:p>
        </w:tc>
        <w:tc>
          <w:tcPr>
            <w:tcW w:w="1776" w:type="dxa"/>
            <w:shd w:val="clear" w:color="auto" w:fill="auto"/>
            <w:vAlign w:val="center"/>
          </w:tcPr>
          <w:p>
            <w:pPr>
              <w:jc w:val="center"/>
              <w:rPr>
                <w:rFonts w:hint="default"/>
                <w:szCs w:val="20"/>
                <w:highlight w:val="none"/>
                <w:lang w:val="pt-BR"/>
              </w:rPr>
            </w:pPr>
            <w:r>
              <w:rPr>
                <w:szCs w:val="20"/>
                <w:highlight w:val="none"/>
              </w:rPr>
              <w:t>0,6</w:t>
            </w:r>
            <w:r>
              <w:rPr>
                <w:rFonts w:hint="default"/>
                <w:szCs w:val="20"/>
                <w:highlight w:val="none"/>
                <w:lang w:val="pt-BR"/>
              </w:rPr>
              <w:t>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r>
              <w:rPr>
                <w:szCs w:val="20"/>
                <w:highlight w:val="none"/>
              </w:rPr>
              <w:t>B4</w:t>
            </w:r>
          </w:p>
        </w:tc>
        <w:tc>
          <w:tcPr>
            <w:tcW w:w="5349" w:type="dxa"/>
            <w:shd w:val="clear" w:color="auto" w:fill="auto"/>
            <w:vAlign w:val="center"/>
          </w:tcPr>
          <w:p>
            <w:pPr>
              <w:rPr>
                <w:szCs w:val="20"/>
                <w:highlight w:val="none"/>
              </w:rPr>
            </w:pPr>
            <w:r>
              <w:rPr>
                <w:szCs w:val="20"/>
                <w:highlight w:val="none"/>
              </w:rPr>
              <w:t>13º Salário</w:t>
            </w:r>
          </w:p>
        </w:tc>
        <w:tc>
          <w:tcPr>
            <w:tcW w:w="1416" w:type="dxa"/>
            <w:shd w:val="clear" w:color="auto" w:fill="auto"/>
            <w:vAlign w:val="center"/>
          </w:tcPr>
          <w:p>
            <w:pPr>
              <w:jc w:val="center"/>
              <w:rPr>
                <w:rFonts w:hint="default"/>
                <w:szCs w:val="20"/>
                <w:highlight w:val="none"/>
                <w:lang w:val="pt-BR"/>
              </w:rPr>
            </w:pPr>
            <w:r>
              <w:rPr>
                <w:rFonts w:hint="default"/>
                <w:szCs w:val="20"/>
                <w:highlight w:val="none"/>
                <w:lang w:val="pt-BR"/>
              </w:rPr>
              <w:t>10,90</w:t>
            </w:r>
          </w:p>
        </w:tc>
        <w:tc>
          <w:tcPr>
            <w:tcW w:w="1776" w:type="dxa"/>
            <w:shd w:val="clear" w:color="auto" w:fill="auto"/>
            <w:vAlign w:val="center"/>
          </w:tcPr>
          <w:p>
            <w:pPr>
              <w:jc w:val="center"/>
              <w:rPr>
                <w:szCs w:val="20"/>
                <w:highlight w:val="none"/>
              </w:rPr>
            </w:pPr>
            <w:r>
              <w:rPr>
                <w:szCs w:val="20"/>
                <w:highlight w:val="none"/>
              </w:rPr>
              <w:t>8,33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r>
              <w:rPr>
                <w:szCs w:val="20"/>
                <w:highlight w:val="none"/>
              </w:rPr>
              <w:t>B5</w:t>
            </w:r>
          </w:p>
        </w:tc>
        <w:tc>
          <w:tcPr>
            <w:tcW w:w="5349" w:type="dxa"/>
            <w:shd w:val="clear" w:color="auto" w:fill="auto"/>
            <w:vAlign w:val="center"/>
          </w:tcPr>
          <w:p>
            <w:pPr>
              <w:rPr>
                <w:szCs w:val="20"/>
                <w:highlight w:val="none"/>
              </w:rPr>
            </w:pPr>
            <w:r>
              <w:rPr>
                <w:szCs w:val="20"/>
                <w:highlight w:val="none"/>
              </w:rPr>
              <w:t>Licença Paternidade</w:t>
            </w:r>
          </w:p>
        </w:tc>
        <w:tc>
          <w:tcPr>
            <w:tcW w:w="1416" w:type="dxa"/>
            <w:shd w:val="clear" w:color="auto" w:fill="auto"/>
            <w:vAlign w:val="center"/>
          </w:tcPr>
          <w:p>
            <w:pPr>
              <w:jc w:val="center"/>
              <w:rPr>
                <w:rFonts w:hint="default"/>
                <w:szCs w:val="20"/>
                <w:highlight w:val="none"/>
                <w:lang w:val="pt-BR"/>
              </w:rPr>
            </w:pPr>
            <w:r>
              <w:rPr>
                <w:szCs w:val="20"/>
                <w:highlight w:val="none"/>
              </w:rPr>
              <w:t>0,0</w:t>
            </w:r>
            <w:r>
              <w:rPr>
                <w:rFonts w:hint="default"/>
                <w:szCs w:val="20"/>
                <w:highlight w:val="none"/>
                <w:lang w:val="pt-BR"/>
              </w:rPr>
              <w:t>7</w:t>
            </w:r>
          </w:p>
        </w:tc>
        <w:tc>
          <w:tcPr>
            <w:tcW w:w="1776" w:type="dxa"/>
            <w:shd w:val="clear" w:color="auto" w:fill="auto"/>
            <w:vAlign w:val="center"/>
          </w:tcPr>
          <w:p>
            <w:pPr>
              <w:jc w:val="center"/>
              <w:rPr>
                <w:szCs w:val="20"/>
                <w:highlight w:val="none"/>
              </w:rPr>
            </w:pPr>
            <w:r>
              <w:rPr>
                <w:szCs w:val="20"/>
                <w:highlight w:val="none"/>
              </w:rPr>
              <w:t>0,06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r>
              <w:rPr>
                <w:szCs w:val="20"/>
                <w:highlight w:val="none"/>
              </w:rPr>
              <w:t>B6</w:t>
            </w:r>
          </w:p>
        </w:tc>
        <w:tc>
          <w:tcPr>
            <w:tcW w:w="5349" w:type="dxa"/>
            <w:shd w:val="clear" w:color="auto" w:fill="auto"/>
            <w:vAlign w:val="center"/>
          </w:tcPr>
          <w:p>
            <w:pPr>
              <w:rPr>
                <w:szCs w:val="20"/>
                <w:highlight w:val="none"/>
              </w:rPr>
            </w:pPr>
            <w:r>
              <w:rPr>
                <w:szCs w:val="20"/>
                <w:highlight w:val="none"/>
              </w:rPr>
              <w:t>Faltas Justificadas</w:t>
            </w:r>
          </w:p>
        </w:tc>
        <w:tc>
          <w:tcPr>
            <w:tcW w:w="1416" w:type="dxa"/>
            <w:shd w:val="clear" w:color="auto" w:fill="auto"/>
            <w:vAlign w:val="center"/>
          </w:tcPr>
          <w:p>
            <w:pPr>
              <w:jc w:val="center"/>
              <w:rPr>
                <w:szCs w:val="20"/>
                <w:highlight w:val="none"/>
              </w:rPr>
            </w:pPr>
            <w:r>
              <w:rPr>
                <w:szCs w:val="20"/>
                <w:highlight w:val="none"/>
              </w:rPr>
              <w:t>0,73</w:t>
            </w:r>
          </w:p>
        </w:tc>
        <w:tc>
          <w:tcPr>
            <w:tcW w:w="1776" w:type="dxa"/>
            <w:shd w:val="clear" w:color="auto" w:fill="auto"/>
            <w:vAlign w:val="center"/>
          </w:tcPr>
          <w:p>
            <w:pPr>
              <w:jc w:val="center"/>
              <w:rPr>
                <w:szCs w:val="20"/>
                <w:highlight w:val="none"/>
              </w:rPr>
            </w:pPr>
            <w:r>
              <w:rPr>
                <w:szCs w:val="20"/>
                <w:highlight w:val="none"/>
              </w:rPr>
              <w:t>0,56</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r>
              <w:rPr>
                <w:szCs w:val="20"/>
                <w:highlight w:val="none"/>
              </w:rPr>
              <w:t>B7</w:t>
            </w:r>
          </w:p>
        </w:tc>
        <w:tc>
          <w:tcPr>
            <w:tcW w:w="5349" w:type="dxa"/>
            <w:shd w:val="clear" w:color="auto" w:fill="auto"/>
            <w:vAlign w:val="center"/>
          </w:tcPr>
          <w:p>
            <w:pPr>
              <w:rPr>
                <w:szCs w:val="20"/>
                <w:highlight w:val="none"/>
              </w:rPr>
            </w:pPr>
            <w:r>
              <w:rPr>
                <w:szCs w:val="20"/>
                <w:highlight w:val="none"/>
              </w:rPr>
              <w:t>Dias de Chuva</w:t>
            </w:r>
          </w:p>
        </w:tc>
        <w:tc>
          <w:tcPr>
            <w:tcW w:w="1416" w:type="dxa"/>
            <w:shd w:val="clear" w:color="auto" w:fill="auto"/>
            <w:vAlign w:val="center"/>
          </w:tcPr>
          <w:p>
            <w:pPr>
              <w:jc w:val="center"/>
              <w:rPr>
                <w:rFonts w:hint="default"/>
                <w:szCs w:val="20"/>
                <w:highlight w:val="none"/>
                <w:lang w:val="pt-BR"/>
              </w:rPr>
            </w:pPr>
            <w:r>
              <w:rPr>
                <w:rFonts w:hint="default"/>
                <w:szCs w:val="20"/>
                <w:highlight w:val="none"/>
                <w:lang w:val="pt-BR"/>
              </w:rPr>
              <w:t>2,03</w:t>
            </w:r>
          </w:p>
        </w:tc>
        <w:tc>
          <w:tcPr>
            <w:tcW w:w="1776" w:type="dxa"/>
            <w:shd w:val="clear" w:color="auto" w:fill="auto"/>
            <w:vAlign w:val="center"/>
          </w:tcPr>
          <w:p>
            <w:pPr>
              <w:jc w:val="center"/>
              <w:rPr>
                <w:szCs w:val="20"/>
                <w:highlight w:val="none"/>
              </w:rPr>
            </w:pPr>
            <w:r>
              <w:rPr>
                <w:szCs w:val="20"/>
                <w:highlight w:val="none"/>
              </w:rPr>
              <w:t>Não incide</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r>
              <w:rPr>
                <w:szCs w:val="20"/>
                <w:highlight w:val="none"/>
              </w:rPr>
              <w:t>B8</w:t>
            </w:r>
          </w:p>
        </w:tc>
        <w:tc>
          <w:tcPr>
            <w:tcW w:w="5349" w:type="dxa"/>
            <w:shd w:val="clear" w:color="auto" w:fill="auto"/>
            <w:vAlign w:val="center"/>
          </w:tcPr>
          <w:p>
            <w:pPr>
              <w:rPr>
                <w:szCs w:val="20"/>
                <w:highlight w:val="none"/>
              </w:rPr>
            </w:pPr>
            <w:r>
              <w:rPr>
                <w:szCs w:val="20"/>
                <w:highlight w:val="none"/>
              </w:rPr>
              <w:t>Auxílio Acidente de Trabalho</w:t>
            </w:r>
          </w:p>
        </w:tc>
        <w:tc>
          <w:tcPr>
            <w:tcW w:w="1416" w:type="dxa"/>
            <w:shd w:val="clear" w:color="auto" w:fill="auto"/>
            <w:vAlign w:val="center"/>
          </w:tcPr>
          <w:p>
            <w:pPr>
              <w:jc w:val="center"/>
              <w:rPr>
                <w:rFonts w:hint="default"/>
                <w:szCs w:val="20"/>
                <w:highlight w:val="none"/>
                <w:lang w:val="pt-BR"/>
              </w:rPr>
            </w:pPr>
            <w:r>
              <w:rPr>
                <w:szCs w:val="20"/>
                <w:highlight w:val="none"/>
              </w:rPr>
              <w:t>0,1</w:t>
            </w:r>
            <w:r>
              <w:rPr>
                <w:rFonts w:hint="default"/>
                <w:szCs w:val="20"/>
                <w:highlight w:val="none"/>
                <w:lang w:val="pt-BR"/>
              </w:rPr>
              <w:t>1</w:t>
            </w:r>
          </w:p>
        </w:tc>
        <w:tc>
          <w:tcPr>
            <w:tcW w:w="1776" w:type="dxa"/>
            <w:shd w:val="clear" w:color="auto" w:fill="auto"/>
            <w:vAlign w:val="center"/>
          </w:tcPr>
          <w:p>
            <w:pPr>
              <w:jc w:val="center"/>
              <w:rPr>
                <w:rFonts w:hint="default"/>
                <w:szCs w:val="20"/>
                <w:highlight w:val="none"/>
                <w:lang w:val="pt-BR"/>
              </w:rPr>
            </w:pPr>
            <w:r>
              <w:rPr>
                <w:szCs w:val="20"/>
                <w:highlight w:val="none"/>
              </w:rPr>
              <w:t>0,0</w:t>
            </w:r>
            <w:r>
              <w:rPr>
                <w:rFonts w:hint="default"/>
                <w:szCs w:val="20"/>
                <w:highlight w:val="none"/>
                <w:lang w:val="pt-BR"/>
              </w:rPr>
              <w:t>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r>
              <w:rPr>
                <w:szCs w:val="20"/>
                <w:highlight w:val="none"/>
              </w:rPr>
              <w:t>B9</w:t>
            </w:r>
          </w:p>
        </w:tc>
        <w:tc>
          <w:tcPr>
            <w:tcW w:w="5349" w:type="dxa"/>
            <w:shd w:val="clear" w:color="auto" w:fill="auto"/>
            <w:vAlign w:val="center"/>
          </w:tcPr>
          <w:p>
            <w:pPr>
              <w:rPr>
                <w:szCs w:val="20"/>
                <w:highlight w:val="none"/>
              </w:rPr>
            </w:pPr>
            <w:r>
              <w:rPr>
                <w:szCs w:val="20"/>
                <w:highlight w:val="none"/>
              </w:rPr>
              <w:t>Férias Gozadas</w:t>
            </w:r>
          </w:p>
        </w:tc>
        <w:tc>
          <w:tcPr>
            <w:tcW w:w="1416" w:type="dxa"/>
            <w:shd w:val="clear" w:color="auto" w:fill="auto"/>
            <w:vAlign w:val="center"/>
          </w:tcPr>
          <w:p>
            <w:pPr>
              <w:jc w:val="center"/>
              <w:rPr>
                <w:rFonts w:hint="default"/>
                <w:szCs w:val="20"/>
                <w:highlight w:val="none"/>
                <w:lang w:val="pt-BR"/>
              </w:rPr>
            </w:pPr>
            <w:r>
              <w:rPr>
                <w:rFonts w:hint="default"/>
                <w:szCs w:val="20"/>
                <w:highlight w:val="none"/>
                <w:lang w:val="pt-BR"/>
              </w:rPr>
              <w:t>9,21</w:t>
            </w:r>
          </w:p>
        </w:tc>
        <w:tc>
          <w:tcPr>
            <w:tcW w:w="1776" w:type="dxa"/>
            <w:shd w:val="clear" w:color="auto" w:fill="auto"/>
            <w:vAlign w:val="center"/>
          </w:tcPr>
          <w:p>
            <w:pPr>
              <w:jc w:val="center"/>
              <w:rPr>
                <w:rFonts w:hint="default"/>
                <w:szCs w:val="20"/>
                <w:highlight w:val="none"/>
                <w:lang w:val="pt-BR"/>
              </w:rPr>
            </w:pPr>
            <w:r>
              <w:rPr>
                <w:rFonts w:hint="default"/>
                <w:szCs w:val="20"/>
                <w:highlight w:val="none"/>
                <w:lang w:val="pt-BR"/>
              </w:rPr>
              <w:t>7,04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r>
              <w:rPr>
                <w:szCs w:val="20"/>
                <w:highlight w:val="none"/>
              </w:rPr>
              <w:t>B10</w:t>
            </w:r>
          </w:p>
        </w:tc>
        <w:tc>
          <w:tcPr>
            <w:tcW w:w="5349" w:type="dxa"/>
            <w:shd w:val="clear" w:color="auto" w:fill="auto"/>
            <w:vAlign w:val="center"/>
          </w:tcPr>
          <w:p>
            <w:pPr>
              <w:rPr>
                <w:szCs w:val="20"/>
                <w:highlight w:val="none"/>
              </w:rPr>
            </w:pPr>
            <w:r>
              <w:rPr>
                <w:szCs w:val="20"/>
                <w:highlight w:val="none"/>
              </w:rPr>
              <w:t>Salário Maternidade</w:t>
            </w:r>
          </w:p>
        </w:tc>
        <w:tc>
          <w:tcPr>
            <w:tcW w:w="1416" w:type="dxa"/>
            <w:shd w:val="clear" w:color="auto" w:fill="auto"/>
            <w:vAlign w:val="center"/>
          </w:tcPr>
          <w:p>
            <w:pPr>
              <w:jc w:val="center"/>
              <w:rPr>
                <w:szCs w:val="20"/>
                <w:highlight w:val="none"/>
              </w:rPr>
            </w:pPr>
            <w:r>
              <w:rPr>
                <w:szCs w:val="20"/>
                <w:highlight w:val="none"/>
              </w:rPr>
              <w:t>0,03</w:t>
            </w:r>
          </w:p>
        </w:tc>
        <w:tc>
          <w:tcPr>
            <w:tcW w:w="1776" w:type="dxa"/>
            <w:shd w:val="clear" w:color="auto" w:fill="auto"/>
            <w:vAlign w:val="center"/>
          </w:tcPr>
          <w:p>
            <w:pPr>
              <w:jc w:val="center"/>
              <w:rPr>
                <w:rFonts w:hint="default"/>
                <w:szCs w:val="20"/>
                <w:highlight w:val="none"/>
                <w:lang w:val="pt-BR"/>
              </w:rPr>
            </w:pPr>
            <w:r>
              <w:rPr>
                <w:szCs w:val="20"/>
                <w:highlight w:val="none"/>
              </w:rPr>
              <w:t>0,0</w:t>
            </w:r>
            <w:r>
              <w:rPr>
                <w:rFonts w:hint="default"/>
                <w:szCs w:val="20"/>
                <w:highlight w:val="none"/>
                <w:lang w:val="pt-BR"/>
              </w:rPr>
              <w:t>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5993" w:type="dxa"/>
            <w:gridSpan w:val="2"/>
            <w:shd w:val="clear" w:color="auto" w:fill="auto"/>
            <w:vAlign w:val="center"/>
          </w:tcPr>
          <w:p>
            <w:pPr>
              <w:jc w:val="right"/>
              <w:rPr>
                <w:b/>
                <w:szCs w:val="20"/>
                <w:highlight w:val="none"/>
              </w:rPr>
            </w:pPr>
            <w:r>
              <w:rPr>
                <w:b/>
                <w:szCs w:val="20"/>
                <w:highlight w:val="none"/>
              </w:rPr>
              <w:t>SUBTOTAL DE “B”:</w:t>
            </w:r>
          </w:p>
        </w:tc>
        <w:tc>
          <w:tcPr>
            <w:tcW w:w="1416" w:type="dxa"/>
            <w:shd w:val="clear" w:color="auto" w:fill="auto"/>
            <w:vAlign w:val="center"/>
          </w:tcPr>
          <w:p>
            <w:pPr>
              <w:jc w:val="center"/>
              <w:rPr>
                <w:rFonts w:hint="default"/>
                <w:b/>
                <w:szCs w:val="20"/>
                <w:highlight w:val="none"/>
                <w:lang w:val="pt-BR"/>
              </w:rPr>
            </w:pPr>
            <w:r>
              <w:rPr>
                <w:b/>
                <w:szCs w:val="20"/>
                <w:highlight w:val="none"/>
              </w:rPr>
              <w:t>4</w:t>
            </w:r>
            <w:r>
              <w:rPr>
                <w:rFonts w:hint="default"/>
                <w:b/>
                <w:szCs w:val="20"/>
                <w:highlight w:val="none"/>
                <w:lang w:val="pt-BR"/>
              </w:rPr>
              <w:t>5,90</w:t>
            </w:r>
          </w:p>
        </w:tc>
        <w:tc>
          <w:tcPr>
            <w:tcW w:w="1776" w:type="dxa"/>
            <w:shd w:val="clear" w:color="auto" w:fill="auto"/>
            <w:vAlign w:val="center"/>
          </w:tcPr>
          <w:p>
            <w:pPr>
              <w:jc w:val="center"/>
              <w:rPr>
                <w:rFonts w:hint="default"/>
                <w:b/>
                <w:szCs w:val="20"/>
                <w:highlight w:val="none"/>
                <w:lang w:val="pt-BR"/>
              </w:rPr>
            </w:pPr>
            <w:r>
              <w:rPr>
                <w:b/>
                <w:szCs w:val="20"/>
                <w:highlight w:val="none"/>
              </w:rPr>
              <w:t>1</w:t>
            </w:r>
            <w:r>
              <w:rPr>
                <w:rFonts w:hint="default"/>
                <w:b/>
                <w:szCs w:val="20"/>
                <w:highlight w:val="none"/>
                <w:lang w:val="pt-BR"/>
              </w:rPr>
              <w:t>6,77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b/>
                <w:szCs w:val="20"/>
                <w:highlight w:val="none"/>
              </w:rPr>
            </w:pPr>
            <w:r>
              <w:rPr>
                <w:b/>
                <w:szCs w:val="20"/>
                <w:highlight w:val="none"/>
              </w:rPr>
              <w:t>C</w:t>
            </w:r>
          </w:p>
        </w:tc>
        <w:tc>
          <w:tcPr>
            <w:tcW w:w="8541" w:type="dxa"/>
            <w:gridSpan w:val="3"/>
            <w:shd w:val="clear" w:color="auto" w:fill="auto"/>
            <w:vAlign w:val="center"/>
          </w:tcPr>
          <w:p>
            <w:pPr>
              <w:rPr>
                <w:b/>
                <w:szCs w:val="20"/>
                <w:highlight w:val="none"/>
              </w:rPr>
            </w:pPr>
            <w:r>
              <w:rPr>
                <w:b/>
                <w:szCs w:val="20"/>
                <w:highlight w:val="none"/>
              </w:rPr>
              <w:t>ENCARGOS SOCIAIS QUE NÃO RECEBEM INCIDÊNCIA DE “A”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r>
              <w:rPr>
                <w:szCs w:val="20"/>
                <w:highlight w:val="none"/>
              </w:rPr>
              <w:t>C1</w:t>
            </w:r>
          </w:p>
        </w:tc>
        <w:tc>
          <w:tcPr>
            <w:tcW w:w="5349" w:type="dxa"/>
            <w:shd w:val="clear" w:color="auto" w:fill="auto"/>
            <w:vAlign w:val="center"/>
          </w:tcPr>
          <w:p>
            <w:pPr>
              <w:rPr>
                <w:szCs w:val="20"/>
                <w:highlight w:val="none"/>
              </w:rPr>
            </w:pPr>
            <w:r>
              <w:rPr>
                <w:szCs w:val="20"/>
                <w:highlight w:val="none"/>
              </w:rPr>
              <w:t>Aviso Prévio Indenizado</w:t>
            </w:r>
          </w:p>
        </w:tc>
        <w:tc>
          <w:tcPr>
            <w:tcW w:w="1416" w:type="dxa"/>
            <w:shd w:val="clear" w:color="auto" w:fill="auto"/>
            <w:vAlign w:val="center"/>
          </w:tcPr>
          <w:p>
            <w:pPr>
              <w:jc w:val="center"/>
              <w:rPr>
                <w:rFonts w:hint="default"/>
                <w:szCs w:val="20"/>
                <w:highlight w:val="none"/>
                <w:lang w:val="pt-BR"/>
              </w:rPr>
            </w:pPr>
            <w:r>
              <w:rPr>
                <w:rFonts w:hint="default"/>
                <w:szCs w:val="20"/>
                <w:highlight w:val="none"/>
                <w:lang w:val="pt-BR"/>
              </w:rPr>
              <w:t>5,40</w:t>
            </w:r>
          </w:p>
        </w:tc>
        <w:tc>
          <w:tcPr>
            <w:tcW w:w="1776" w:type="dxa"/>
            <w:shd w:val="clear" w:color="auto" w:fill="auto"/>
            <w:vAlign w:val="center"/>
          </w:tcPr>
          <w:p>
            <w:pPr>
              <w:jc w:val="center"/>
              <w:rPr>
                <w:rFonts w:hint="default"/>
                <w:szCs w:val="20"/>
                <w:highlight w:val="none"/>
                <w:lang w:val="pt-BR"/>
              </w:rPr>
            </w:pPr>
            <w:r>
              <w:rPr>
                <w:rFonts w:hint="default"/>
                <w:szCs w:val="20"/>
                <w:highlight w:val="none"/>
                <w:lang w:val="pt-BR"/>
              </w:rPr>
              <w:t>4,13</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r>
              <w:rPr>
                <w:szCs w:val="20"/>
                <w:highlight w:val="none"/>
              </w:rPr>
              <w:t>C2</w:t>
            </w:r>
          </w:p>
        </w:tc>
        <w:tc>
          <w:tcPr>
            <w:tcW w:w="5349" w:type="dxa"/>
            <w:shd w:val="clear" w:color="auto" w:fill="auto"/>
            <w:vAlign w:val="center"/>
          </w:tcPr>
          <w:p>
            <w:pPr>
              <w:rPr>
                <w:szCs w:val="20"/>
                <w:highlight w:val="none"/>
              </w:rPr>
            </w:pPr>
            <w:r>
              <w:rPr>
                <w:szCs w:val="20"/>
                <w:highlight w:val="none"/>
              </w:rPr>
              <w:t>Aviso Prévio Trabalhado</w:t>
            </w:r>
          </w:p>
        </w:tc>
        <w:tc>
          <w:tcPr>
            <w:tcW w:w="1416" w:type="dxa"/>
            <w:shd w:val="clear" w:color="auto" w:fill="auto"/>
            <w:vAlign w:val="center"/>
          </w:tcPr>
          <w:p>
            <w:pPr>
              <w:jc w:val="center"/>
              <w:rPr>
                <w:rFonts w:hint="default"/>
                <w:szCs w:val="20"/>
                <w:highlight w:val="none"/>
                <w:lang w:val="pt-BR"/>
              </w:rPr>
            </w:pPr>
            <w:r>
              <w:rPr>
                <w:szCs w:val="20"/>
                <w:highlight w:val="none"/>
              </w:rPr>
              <w:t>0,1</w:t>
            </w:r>
            <w:r>
              <w:rPr>
                <w:rFonts w:hint="default"/>
                <w:szCs w:val="20"/>
                <w:highlight w:val="none"/>
                <w:lang w:val="pt-BR"/>
              </w:rPr>
              <w:t>3</w:t>
            </w:r>
          </w:p>
        </w:tc>
        <w:tc>
          <w:tcPr>
            <w:tcW w:w="1776" w:type="dxa"/>
            <w:shd w:val="clear" w:color="auto" w:fill="auto"/>
            <w:vAlign w:val="center"/>
          </w:tcPr>
          <w:p>
            <w:pPr>
              <w:jc w:val="center"/>
              <w:rPr>
                <w:rFonts w:hint="default"/>
                <w:szCs w:val="20"/>
                <w:highlight w:val="none"/>
                <w:lang w:val="pt-BR"/>
              </w:rPr>
            </w:pPr>
            <w:r>
              <w:rPr>
                <w:szCs w:val="20"/>
                <w:highlight w:val="none"/>
              </w:rPr>
              <w:t>0,1</w:t>
            </w:r>
            <w:r>
              <w:rPr>
                <w:rFonts w:hint="default"/>
                <w:szCs w:val="20"/>
                <w:highlight w:val="none"/>
                <w:lang w:val="pt-BR"/>
              </w:rPr>
              <w:t>0</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r>
              <w:rPr>
                <w:szCs w:val="20"/>
                <w:highlight w:val="none"/>
              </w:rPr>
              <w:t>C3</w:t>
            </w:r>
          </w:p>
        </w:tc>
        <w:tc>
          <w:tcPr>
            <w:tcW w:w="5349" w:type="dxa"/>
            <w:shd w:val="clear" w:color="auto" w:fill="auto"/>
            <w:vAlign w:val="center"/>
          </w:tcPr>
          <w:p>
            <w:pPr>
              <w:rPr>
                <w:szCs w:val="20"/>
                <w:highlight w:val="none"/>
              </w:rPr>
            </w:pPr>
            <w:r>
              <w:rPr>
                <w:szCs w:val="20"/>
                <w:highlight w:val="none"/>
              </w:rPr>
              <w:t>Férias Indenizadas</w:t>
            </w:r>
          </w:p>
        </w:tc>
        <w:tc>
          <w:tcPr>
            <w:tcW w:w="1416" w:type="dxa"/>
            <w:shd w:val="clear" w:color="auto" w:fill="auto"/>
            <w:vAlign w:val="center"/>
          </w:tcPr>
          <w:p>
            <w:pPr>
              <w:jc w:val="center"/>
              <w:rPr>
                <w:rFonts w:hint="default"/>
                <w:szCs w:val="20"/>
                <w:highlight w:val="none"/>
                <w:lang w:val="pt-BR"/>
              </w:rPr>
            </w:pPr>
            <w:r>
              <w:rPr>
                <w:rFonts w:hint="default"/>
                <w:szCs w:val="20"/>
                <w:highlight w:val="none"/>
                <w:lang w:val="pt-BR"/>
              </w:rPr>
              <w:t>4,25</w:t>
            </w:r>
          </w:p>
        </w:tc>
        <w:tc>
          <w:tcPr>
            <w:tcW w:w="1776" w:type="dxa"/>
            <w:shd w:val="clear" w:color="auto" w:fill="auto"/>
            <w:vAlign w:val="center"/>
          </w:tcPr>
          <w:p>
            <w:pPr>
              <w:jc w:val="center"/>
              <w:rPr>
                <w:rFonts w:hint="default"/>
                <w:szCs w:val="20"/>
                <w:highlight w:val="none"/>
                <w:lang w:val="pt-BR"/>
              </w:rPr>
            </w:pPr>
            <w:r>
              <w:rPr>
                <w:rFonts w:hint="default"/>
                <w:szCs w:val="20"/>
                <w:highlight w:val="none"/>
                <w:lang w:val="pt-BR"/>
              </w:rPr>
              <w:t>3,25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r>
              <w:rPr>
                <w:szCs w:val="20"/>
                <w:highlight w:val="none"/>
              </w:rPr>
              <w:t>C4</w:t>
            </w:r>
          </w:p>
        </w:tc>
        <w:tc>
          <w:tcPr>
            <w:tcW w:w="5349" w:type="dxa"/>
            <w:shd w:val="clear" w:color="auto" w:fill="auto"/>
            <w:vAlign w:val="center"/>
          </w:tcPr>
          <w:p>
            <w:pPr>
              <w:rPr>
                <w:szCs w:val="20"/>
                <w:highlight w:val="none"/>
              </w:rPr>
            </w:pPr>
            <w:r>
              <w:rPr>
                <w:szCs w:val="20"/>
                <w:highlight w:val="none"/>
              </w:rPr>
              <w:t>Depósito Rescisão Sem Justa Causa</w:t>
            </w:r>
          </w:p>
        </w:tc>
        <w:tc>
          <w:tcPr>
            <w:tcW w:w="1416" w:type="dxa"/>
            <w:shd w:val="clear" w:color="auto" w:fill="auto"/>
            <w:vAlign w:val="center"/>
          </w:tcPr>
          <w:p>
            <w:pPr>
              <w:jc w:val="center"/>
              <w:rPr>
                <w:rFonts w:hint="default"/>
                <w:szCs w:val="20"/>
                <w:highlight w:val="none"/>
                <w:lang w:val="pt-BR"/>
              </w:rPr>
            </w:pPr>
            <w:r>
              <w:rPr>
                <w:rFonts w:hint="default"/>
                <w:szCs w:val="20"/>
                <w:highlight w:val="none"/>
                <w:lang w:val="pt-BR"/>
              </w:rPr>
              <w:t>3,72</w:t>
            </w:r>
          </w:p>
        </w:tc>
        <w:tc>
          <w:tcPr>
            <w:tcW w:w="1776" w:type="dxa"/>
            <w:shd w:val="clear" w:color="auto" w:fill="auto"/>
            <w:vAlign w:val="center"/>
          </w:tcPr>
          <w:p>
            <w:pPr>
              <w:jc w:val="center"/>
              <w:rPr>
                <w:rFonts w:hint="default"/>
                <w:szCs w:val="20"/>
                <w:highlight w:val="none"/>
                <w:lang w:val="pt-BR"/>
              </w:rPr>
            </w:pPr>
            <w:r>
              <w:rPr>
                <w:rFonts w:hint="default"/>
                <w:szCs w:val="20"/>
                <w:highlight w:val="none"/>
                <w:lang w:val="pt-BR"/>
              </w:rPr>
              <w:t>2,85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r>
              <w:rPr>
                <w:szCs w:val="20"/>
                <w:highlight w:val="none"/>
              </w:rPr>
              <w:t>C5</w:t>
            </w:r>
          </w:p>
        </w:tc>
        <w:tc>
          <w:tcPr>
            <w:tcW w:w="5349" w:type="dxa"/>
            <w:shd w:val="clear" w:color="auto" w:fill="auto"/>
            <w:vAlign w:val="center"/>
          </w:tcPr>
          <w:p>
            <w:pPr>
              <w:rPr>
                <w:szCs w:val="20"/>
                <w:highlight w:val="none"/>
              </w:rPr>
            </w:pPr>
            <w:r>
              <w:rPr>
                <w:szCs w:val="20"/>
                <w:highlight w:val="none"/>
              </w:rPr>
              <w:t>Indenização Adicional</w:t>
            </w:r>
          </w:p>
        </w:tc>
        <w:tc>
          <w:tcPr>
            <w:tcW w:w="1416" w:type="dxa"/>
            <w:shd w:val="clear" w:color="auto" w:fill="auto"/>
            <w:vAlign w:val="center"/>
          </w:tcPr>
          <w:p>
            <w:pPr>
              <w:jc w:val="center"/>
              <w:rPr>
                <w:rFonts w:hint="default"/>
                <w:szCs w:val="20"/>
                <w:highlight w:val="none"/>
                <w:lang w:val="pt-BR"/>
              </w:rPr>
            </w:pPr>
            <w:r>
              <w:rPr>
                <w:szCs w:val="20"/>
                <w:highlight w:val="none"/>
              </w:rPr>
              <w:t>0,</w:t>
            </w:r>
            <w:r>
              <w:rPr>
                <w:rFonts w:hint="default"/>
                <w:szCs w:val="20"/>
                <w:highlight w:val="none"/>
                <w:lang w:val="pt-BR"/>
              </w:rPr>
              <w:t>45</w:t>
            </w:r>
          </w:p>
        </w:tc>
        <w:tc>
          <w:tcPr>
            <w:tcW w:w="1776" w:type="dxa"/>
            <w:shd w:val="clear" w:color="auto" w:fill="auto"/>
            <w:vAlign w:val="center"/>
          </w:tcPr>
          <w:p>
            <w:pPr>
              <w:jc w:val="center"/>
              <w:rPr>
                <w:rFonts w:hint="default"/>
                <w:szCs w:val="20"/>
                <w:highlight w:val="none"/>
                <w:lang w:val="pt-BR"/>
              </w:rPr>
            </w:pPr>
            <w:r>
              <w:rPr>
                <w:szCs w:val="20"/>
                <w:highlight w:val="none"/>
              </w:rPr>
              <w:t>0,</w:t>
            </w:r>
            <w:r>
              <w:rPr>
                <w:rFonts w:hint="default"/>
                <w:szCs w:val="20"/>
                <w:highlight w:val="none"/>
                <w:lang w:val="pt-BR"/>
              </w:rPr>
              <w:t>35</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5993" w:type="dxa"/>
            <w:gridSpan w:val="2"/>
            <w:shd w:val="clear" w:color="auto" w:fill="auto"/>
            <w:vAlign w:val="center"/>
          </w:tcPr>
          <w:p>
            <w:pPr>
              <w:jc w:val="right"/>
              <w:rPr>
                <w:b/>
                <w:szCs w:val="20"/>
                <w:highlight w:val="none"/>
              </w:rPr>
            </w:pPr>
            <w:r>
              <w:rPr>
                <w:b/>
                <w:szCs w:val="20"/>
                <w:highlight w:val="none"/>
              </w:rPr>
              <w:t>SUBTOTAL DE “C”:</w:t>
            </w:r>
          </w:p>
        </w:tc>
        <w:tc>
          <w:tcPr>
            <w:tcW w:w="1416" w:type="dxa"/>
            <w:shd w:val="clear" w:color="auto" w:fill="auto"/>
            <w:vAlign w:val="center"/>
          </w:tcPr>
          <w:p>
            <w:pPr>
              <w:jc w:val="center"/>
              <w:rPr>
                <w:rFonts w:hint="default"/>
                <w:b/>
                <w:szCs w:val="20"/>
                <w:highlight w:val="none"/>
                <w:lang w:val="pt-BR"/>
              </w:rPr>
            </w:pPr>
            <w:r>
              <w:rPr>
                <w:rFonts w:hint="default"/>
                <w:b/>
                <w:szCs w:val="20"/>
                <w:highlight w:val="none"/>
                <w:lang w:val="pt-BR"/>
              </w:rPr>
              <w:t>13,95</w:t>
            </w:r>
          </w:p>
        </w:tc>
        <w:tc>
          <w:tcPr>
            <w:tcW w:w="1776" w:type="dxa"/>
            <w:shd w:val="clear" w:color="auto" w:fill="auto"/>
            <w:vAlign w:val="center"/>
          </w:tcPr>
          <w:p>
            <w:pPr>
              <w:jc w:val="center"/>
              <w:rPr>
                <w:rFonts w:hint="default"/>
                <w:b/>
                <w:szCs w:val="20"/>
                <w:highlight w:val="none"/>
                <w:lang w:val="pt-BR"/>
              </w:rPr>
            </w:pPr>
            <w:r>
              <w:rPr>
                <w:rFonts w:hint="default"/>
                <w:b/>
                <w:szCs w:val="20"/>
                <w:highlight w:val="none"/>
                <w:lang w:val="pt-BR"/>
              </w:rPr>
              <w:t>10,68</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b/>
                <w:szCs w:val="20"/>
                <w:highlight w:val="none"/>
              </w:rPr>
            </w:pPr>
            <w:r>
              <w:rPr>
                <w:b/>
                <w:szCs w:val="20"/>
                <w:highlight w:val="none"/>
              </w:rPr>
              <w:t>D</w:t>
            </w:r>
          </w:p>
        </w:tc>
        <w:tc>
          <w:tcPr>
            <w:tcW w:w="8541" w:type="dxa"/>
            <w:gridSpan w:val="3"/>
            <w:shd w:val="clear" w:color="auto" w:fill="auto"/>
            <w:vAlign w:val="center"/>
          </w:tcPr>
          <w:p>
            <w:pPr>
              <w:rPr>
                <w:b/>
                <w:szCs w:val="20"/>
                <w:highlight w:val="none"/>
              </w:rPr>
            </w:pPr>
            <w:r>
              <w:rPr>
                <w:b/>
                <w:szCs w:val="20"/>
                <w:highlight w:val="none"/>
              </w:rPr>
              <w:t>REINCIDÊNCIAS DE UM GRUPO SOBRE O OUTRO</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r>
              <w:rPr>
                <w:szCs w:val="20"/>
                <w:highlight w:val="none"/>
              </w:rPr>
              <w:t>D1</w:t>
            </w:r>
          </w:p>
        </w:tc>
        <w:tc>
          <w:tcPr>
            <w:tcW w:w="5349" w:type="dxa"/>
            <w:shd w:val="clear" w:color="auto" w:fill="auto"/>
            <w:vAlign w:val="center"/>
          </w:tcPr>
          <w:p>
            <w:pPr>
              <w:rPr>
                <w:szCs w:val="20"/>
                <w:highlight w:val="none"/>
              </w:rPr>
            </w:pPr>
            <w:r>
              <w:rPr>
                <w:szCs w:val="20"/>
                <w:highlight w:val="none"/>
              </w:rPr>
              <w:t>Reincidência de “A” sobre “B”</w:t>
            </w:r>
          </w:p>
        </w:tc>
        <w:tc>
          <w:tcPr>
            <w:tcW w:w="1416" w:type="dxa"/>
            <w:shd w:val="clear" w:color="auto" w:fill="auto"/>
            <w:vAlign w:val="center"/>
          </w:tcPr>
          <w:p>
            <w:pPr>
              <w:jc w:val="center"/>
              <w:rPr>
                <w:rFonts w:hint="default"/>
                <w:szCs w:val="20"/>
                <w:highlight w:val="none"/>
                <w:lang w:val="pt-BR"/>
              </w:rPr>
            </w:pPr>
            <w:r>
              <w:rPr>
                <w:rFonts w:hint="default"/>
                <w:szCs w:val="20"/>
                <w:highlight w:val="none"/>
                <w:lang w:val="pt-BR"/>
              </w:rPr>
              <w:t>16,89</w:t>
            </w:r>
          </w:p>
        </w:tc>
        <w:tc>
          <w:tcPr>
            <w:tcW w:w="1776" w:type="dxa"/>
            <w:shd w:val="clear" w:color="auto" w:fill="auto"/>
            <w:vAlign w:val="center"/>
          </w:tcPr>
          <w:p>
            <w:pPr>
              <w:jc w:val="center"/>
              <w:rPr>
                <w:rFonts w:hint="default"/>
                <w:szCs w:val="20"/>
                <w:highlight w:val="none"/>
                <w:lang w:val="pt-BR"/>
              </w:rPr>
            </w:pPr>
            <w:r>
              <w:rPr>
                <w:rFonts w:hint="default"/>
                <w:szCs w:val="20"/>
                <w:highlight w:val="none"/>
                <w:lang w:val="pt-BR"/>
              </w:rPr>
              <w:t>6,17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r>
              <w:rPr>
                <w:szCs w:val="20"/>
                <w:highlight w:val="none"/>
              </w:rPr>
              <w:t>D2</w:t>
            </w:r>
          </w:p>
        </w:tc>
        <w:tc>
          <w:tcPr>
            <w:tcW w:w="5349" w:type="dxa"/>
            <w:shd w:val="clear" w:color="auto" w:fill="auto"/>
            <w:vAlign w:val="center"/>
          </w:tcPr>
          <w:p>
            <w:pPr>
              <w:rPr>
                <w:szCs w:val="20"/>
                <w:highlight w:val="none"/>
              </w:rPr>
            </w:pPr>
            <w:r>
              <w:rPr>
                <w:szCs w:val="20"/>
                <w:highlight w:val="none"/>
              </w:rPr>
              <w:t>Reincidência de Grupo A sobre Aviso Prévio Trabalhado e Reincidência do FGTS sobre Aviso Prévio Indenizado</w:t>
            </w:r>
          </w:p>
        </w:tc>
        <w:tc>
          <w:tcPr>
            <w:tcW w:w="1416" w:type="dxa"/>
            <w:shd w:val="clear" w:color="auto" w:fill="auto"/>
            <w:vAlign w:val="center"/>
          </w:tcPr>
          <w:p>
            <w:pPr>
              <w:jc w:val="center"/>
              <w:rPr>
                <w:rFonts w:hint="default"/>
                <w:szCs w:val="20"/>
                <w:highlight w:val="none"/>
                <w:lang w:val="pt-BR"/>
              </w:rPr>
            </w:pPr>
            <w:r>
              <w:rPr>
                <w:szCs w:val="20"/>
                <w:highlight w:val="none"/>
              </w:rPr>
              <w:t>0,</w:t>
            </w:r>
            <w:r>
              <w:rPr>
                <w:rFonts w:hint="default"/>
                <w:szCs w:val="20"/>
                <w:highlight w:val="none"/>
                <w:lang w:val="pt-BR"/>
              </w:rPr>
              <w:t>48</w:t>
            </w:r>
          </w:p>
        </w:tc>
        <w:tc>
          <w:tcPr>
            <w:tcW w:w="1776" w:type="dxa"/>
            <w:shd w:val="clear" w:color="auto" w:fill="auto"/>
            <w:vAlign w:val="center"/>
          </w:tcPr>
          <w:p>
            <w:pPr>
              <w:jc w:val="center"/>
              <w:rPr>
                <w:rFonts w:hint="default"/>
                <w:szCs w:val="20"/>
                <w:highlight w:val="none"/>
                <w:lang w:val="pt-BR"/>
              </w:rPr>
            </w:pPr>
            <w:r>
              <w:rPr>
                <w:szCs w:val="20"/>
                <w:highlight w:val="none"/>
              </w:rPr>
              <w:t>0,</w:t>
            </w:r>
            <w:r>
              <w:rPr>
                <w:rFonts w:hint="default"/>
                <w:szCs w:val="20"/>
                <w:highlight w:val="none"/>
                <w:lang w:val="pt-BR"/>
              </w:rPr>
              <w:t>37</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5993" w:type="dxa"/>
            <w:gridSpan w:val="2"/>
            <w:shd w:val="clear" w:color="auto" w:fill="auto"/>
            <w:vAlign w:val="center"/>
          </w:tcPr>
          <w:p>
            <w:pPr>
              <w:jc w:val="right"/>
              <w:rPr>
                <w:b/>
                <w:szCs w:val="20"/>
                <w:highlight w:val="none"/>
              </w:rPr>
            </w:pPr>
            <w:r>
              <w:rPr>
                <w:b/>
                <w:szCs w:val="20"/>
                <w:highlight w:val="none"/>
              </w:rPr>
              <w:t>SUBTOTAL DE “D”:</w:t>
            </w:r>
          </w:p>
        </w:tc>
        <w:tc>
          <w:tcPr>
            <w:tcW w:w="1416" w:type="dxa"/>
            <w:shd w:val="clear" w:color="auto" w:fill="auto"/>
            <w:vAlign w:val="center"/>
          </w:tcPr>
          <w:p>
            <w:pPr>
              <w:jc w:val="center"/>
              <w:rPr>
                <w:rFonts w:hint="default"/>
                <w:b/>
                <w:szCs w:val="20"/>
                <w:highlight w:val="none"/>
                <w:lang w:val="pt-BR"/>
              </w:rPr>
            </w:pPr>
            <w:r>
              <w:rPr>
                <w:rFonts w:hint="default"/>
                <w:b/>
                <w:szCs w:val="20"/>
                <w:highlight w:val="none"/>
                <w:lang w:val="pt-BR"/>
              </w:rPr>
              <w:t>17,37</w:t>
            </w:r>
          </w:p>
        </w:tc>
        <w:tc>
          <w:tcPr>
            <w:tcW w:w="1776" w:type="dxa"/>
            <w:shd w:val="clear" w:color="auto" w:fill="auto"/>
            <w:vAlign w:val="center"/>
          </w:tcPr>
          <w:p>
            <w:pPr>
              <w:jc w:val="center"/>
              <w:rPr>
                <w:rFonts w:hint="default"/>
                <w:b/>
                <w:szCs w:val="20"/>
                <w:highlight w:val="none"/>
                <w:lang w:val="pt-BR"/>
              </w:rPr>
            </w:pPr>
            <w:r>
              <w:rPr>
                <w:rFonts w:hint="default"/>
                <w:b/>
                <w:szCs w:val="20"/>
                <w:highlight w:val="none"/>
                <w:lang w:val="pt-BR"/>
              </w:rPr>
              <w:t>6,54</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5993" w:type="dxa"/>
            <w:gridSpan w:val="2"/>
            <w:shd w:val="clear" w:color="auto" w:fill="auto"/>
            <w:vAlign w:val="center"/>
          </w:tcPr>
          <w:p>
            <w:pPr>
              <w:jc w:val="right"/>
              <w:rPr>
                <w:b/>
                <w:szCs w:val="20"/>
                <w:highlight w:val="none"/>
              </w:rPr>
            </w:pPr>
            <w:r>
              <w:rPr>
                <w:b/>
                <w:szCs w:val="20"/>
                <w:highlight w:val="none"/>
              </w:rPr>
              <w:t>TOTAIS DE ENCARGOS SOCIAIS:</w:t>
            </w:r>
          </w:p>
        </w:tc>
        <w:tc>
          <w:tcPr>
            <w:tcW w:w="1416" w:type="dxa"/>
            <w:shd w:val="clear" w:color="auto" w:fill="auto"/>
            <w:vAlign w:val="center"/>
          </w:tcPr>
          <w:p>
            <w:pPr>
              <w:jc w:val="center"/>
              <w:rPr>
                <w:rFonts w:hint="default"/>
                <w:b/>
                <w:szCs w:val="20"/>
                <w:highlight w:val="none"/>
                <w:lang w:val="pt-BR"/>
              </w:rPr>
            </w:pPr>
            <w:r>
              <w:rPr>
                <w:rFonts w:hint="default"/>
                <w:b/>
                <w:szCs w:val="20"/>
                <w:highlight w:val="none"/>
                <w:lang w:val="pt-BR"/>
              </w:rPr>
              <w:t>114,02</w:t>
            </w:r>
          </w:p>
        </w:tc>
        <w:tc>
          <w:tcPr>
            <w:tcW w:w="1776" w:type="dxa"/>
            <w:shd w:val="clear" w:color="auto" w:fill="auto"/>
            <w:vAlign w:val="center"/>
          </w:tcPr>
          <w:p>
            <w:pPr>
              <w:jc w:val="center"/>
              <w:rPr>
                <w:rFonts w:hint="default"/>
                <w:b/>
                <w:szCs w:val="20"/>
                <w:highlight w:val="none"/>
                <w:lang w:val="pt-BR"/>
              </w:rPr>
            </w:pPr>
            <w:r>
              <w:rPr>
                <w:rFonts w:hint="default"/>
                <w:b/>
                <w:szCs w:val="20"/>
                <w:highlight w:val="none"/>
                <w:lang w:val="pt-BR"/>
              </w:rPr>
              <w:t>70,79</w:t>
            </w:r>
          </w:p>
        </w:tc>
      </w:tr>
    </w:tbl>
    <w:p>
      <w:pPr>
        <w:jc w:val="center"/>
        <w:rPr>
          <w:b/>
          <w:szCs w:val="20"/>
          <w:highlight w:val="none"/>
          <w:lang w:eastAsia="pt-BR"/>
        </w:rPr>
      </w:pPr>
      <w:r>
        <w:rPr>
          <w:szCs w:val="20"/>
          <w:highlight w:val="none"/>
        </w:rPr>
        <w:br w:type="page"/>
      </w:r>
      <w:r>
        <w:rPr>
          <w:b/>
          <w:szCs w:val="20"/>
          <w:highlight w:val="none"/>
        </w:rPr>
        <w:t>Detalhamento</w:t>
      </w:r>
      <w:r>
        <w:rPr>
          <w:b/>
          <w:szCs w:val="20"/>
          <w:highlight w:val="none"/>
          <w:lang w:eastAsia="pt-BR"/>
        </w:rPr>
        <w:t xml:space="preserve"> dos Encargos Sociais – Horista e Mensalista (em branco)</w:t>
      </w:r>
    </w:p>
    <w:p>
      <w:pPr>
        <w:rPr>
          <w:szCs w:val="20"/>
          <w:highlight w:val="none"/>
          <w:lang w:eastAsia="pt-BR"/>
        </w:rPr>
      </w:pPr>
    </w:p>
    <w:p>
      <w:pPr>
        <w:jc w:val="center"/>
        <w:rPr>
          <w:b/>
          <w:szCs w:val="20"/>
          <w:highlight w:val="none"/>
          <w:lang w:eastAsia="pt-BR"/>
        </w:rPr>
      </w:pPr>
      <w:r>
        <w:rPr>
          <w:b/>
          <w:szCs w:val="20"/>
          <w:highlight w:val="none"/>
          <w:lang w:eastAsia="pt-BR"/>
        </w:rPr>
        <w:t>QUADRO DES (em branco)</w:t>
      </w:r>
    </w:p>
    <w:p>
      <w:pPr>
        <w:rPr>
          <w:szCs w:val="20"/>
          <w:highlight w:val="none"/>
          <w:lang w:eastAsia="pt-BR"/>
        </w:rPr>
      </w:pPr>
    </w:p>
    <w:tbl>
      <w:tblPr>
        <w:tblStyle w:val="30"/>
        <w:tblW w:w="9214" w:type="dxa"/>
        <w:jc w:val="center"/>
        <w:tblInd w:w="0" w:type="dxa"/>
        <w:tblLayout w:type="fixed"/>
        <w:tblCellMar>
          <w:top w:w="0" w:type="dxa"/>
          <w:left w:w="70" w:type="dxa"/>
          <w:bottom w:w="0" w:type="dxa"/>
          <w:right w:w="70" w:type="dxa"/>
        </w:tblCellMar>
      </w:tblPr>
      <w:tblGrid>
        <w:gridCol w:w="6237"/>
        <w:gridCol w:w="1609"/>
        <w:gridCol w:w="1368"/>
      </w:tblGrid>
      <w:tr>
        <w:tblPrEx>
          <w:tblLayout w:type="fixed"/>
          <w:tblCellMar>
            <w:top w:w="0" w:type="dxa"/>
            <w:left w:w="70" w:type="dxa"/>
            <w:bottom w:w="0" w:type="dxa"/>
            <w:right w:w="70" w:type="dxa"/>
          </w:tblCellMar>
        </w:tblPrEx>
        <w:trPr>
          <w:trHeight w:val="315" w:hRule="atLeast"/>
          <w:jc w:val="center"/>
        </w:trPr>
        <w:tc>
          <w:tcPr>
            <w:tcW w:w="9214" w:type="dxa"/>
            <w:gridSpan w:val="3"/>
            <w:tcBorders>
              <w:top w:val="single" w:color="auto" w:sz="4" w:space="0"/>
              <w:left w:val="single" w:color="auto" w:sz="4" w:space="0"/>
              <w:bottom w:val="nil"/>
              <w:right w:val="single" w:color="auto" w:sz="4" w:space="0"/>
            </w:tcBorders>
            <w:shd w:val="clear" w:color="000000" w:fill="FFFFFF"/>
            <w:noWrap/>
            <w:vAlign w:val="center"/>
          </w:tcPr>
          <w:p>
            <w:pPr>
              <w:rPr>
                <w:szCs w:val="20"/>
                <w:highlight w:val="none"/>
                <w:lang w:eastAsia="pt-BR"/>
              </w:rPr>
            </w:pPr>
            <w:r>
              <w:rPr>
                <w:szCs w:val="20"/>
                <w:highlight w:val="none"/>
                <w:lang w:eastAsia="pt-BR"/>
              </w:rPr>
              <w:t>NOME DA CONCORRENTE:</w:t>
            </w:r>
          </w:p>
          <w:p>
            <w:pPr>
              <w:rPr>
                <w:szCs w:val="20"/>
                <w:highlight w:val="none"/>
                <w:lang w:eastAsia="pt-BR"/>
              </w:rPr>
            </w:pPr>
          </w:p>
        </w:tc>
      </w:tr>
      <w:tr>
        <w:tblPrEx>
          <w:tblLayout w:type="fixed"/>
          <w:tblCellMar>
            <w:top w:w="0" w:type="dxa"/>
            <w:left w:w="70" w:type="dxa"/>
            <w:bottom w:w="0" w:type="dxa"/>
            <w:right w:w="70" w:type="dxa"/>
          </w:tblCellMar>
        </w:tblPrEx>
        <w:trPr>
          <w:trHeight w:val="300" w:hRule="atLeast"/>
          <w:jc w:val="center"/>
        </w:trPr>
        <w:tc>
          <w:tcPr>
            <w:tcW w:w="6237" w:type="dxa"/>
            <w:vMerge w:val="restart"/>
            <w:tcBorders>
              <w:top w:val="single" w:color="auto" w:sz="4" w:space="0"/>
              <w:left w:val="single" w:color="auto" w:sz="4" w:space="0"/>
              <w:right w:val="single" w:color="auto" w:sz="4" w:space="0"/>
            </w:tcBorders>
            <w:shd w:val="clear" w:color="000000" w:fill="FFFFFF"/>
            <w:noWrap/>
          </w:tcPr>
          <w:p>
            <w:pPr>
              <w:rPr>
                <w:szCs w:val="20"/>
                <w:highlight w:val="none"/>
                <w:lang w:eastAsia="pt-BR"/>
              </w:rPr>
            </w:pPr>
            <w:r>
              <w:rPr>
                <w:szCs w:val="20"/>
                <w:highlight w:val="none"/>
                <w:lang w:eastAsia="pt-BR"/>
              </w:rPr>
              <w:t>OBJETO:</w:t>
            </w:r>
          </w:p>
        </w:tc>
        <w:tc>
          <w:tcPr>
            <w:tcW w:w="1609" w:type="dxa"/>
            <w:tcBorders>
              <w:top w:val="single" w:color="auto" w:sz="4" w:space="0"/>
              <w:left w:val="single" w:color="auto" w:sz="4" w:space="0"/>
              <w:bottom w:val="nil"/>
              <w:right w:val="single" w:color="auto" w:sz="4" w:space="0"/>
            </w:tcBorders>
            <w:shd w:val="clear" w:color="000000" w:fill="FFFFFF"/>
            <w:noWrap/>
            <w:vAlign w:val="center"/>
          </w:tcPr>
          <w:p>
            <w:pPr>
              <w:rPr>
                <w:szCs w:val="20"/>
                <w:highlight w:val="none"/>
                <w:lang w:eastAsia="pt-BR"/>
              </w:rPr>
            </w:pPr>
            <w:r>
              <w:rPr>
                <w:szCs w:val="20"/>
                <w:highlight w:val="none"/>
                <w:lang w:eastAsia="pt-BR"/>
              </w:rPr>
              <w:t>EDITAL</w:t>
            </w:r>
          </w:p>
        </w:tc>
        <w:tc>
          <w:tcPr>
            <w:tcW w:w="1368" w:type="dxa"/>
            <w:tcBorders>
              <w:top w:val="single" w:color="auto" w:sz="4" w:space="0"/>
              <w:left w:val="nil"/>
              <w:bottom w:val="nil"/>
              <w:right w:val="single" w:color="auto" w:sz="4" w:space="0"/>
            </w:tcBorders>
            <w:shd w:val="clear" w:color="000000" w:fill="FFFFFF"/>
            <w:noWrap/>
            <w:vAlign w:val="center"/>
          </w:tcPr>
          <w:p>
            <w:pPr>
              <w:rPr>
                <w:szCs w:val="20"/>
                <w:highlight w:val="none"/>
                <w:lang w:eastAsia="pt-BR"/>
              </w:rPr>
            </w:pPr>
            <w:r>
              <w:rPr>
                <w:szCs w:val="20"/>
                <w:highlight w:val="none"/>
                <w:lang w:eastAsia="pt-BR"/>
              </w:rPr>
              <w:t>FOLHA</w:t>
            </w:r>
          </w:p>
        </w:tc>
      </w:tr>
      <w:tr>
        <w:tblPrEx>
          <w:tblLayout w:type="fixed"/>
          <w:tblCellMar>
            <w:top w:w="0" w:type="dxa"/>
            <w:left w:w="70" w:type="dxa"/>
            <w:bottom w:w="0" w:type="dxa"/>
            <w:right w:w="70" w:type="dxa"/>
          </w:tblCellMar>
        </w:tblPrEx>
        <w:trPr>
          <w:trHeight w:val="315" w:hRule="atLeast"/>
          <w:jc w:val="center"/>
        </w:trPr>
        <w:tc>
          <w:tcPr>
            <w:tcW w:w="6237" w:type="dxa"/>
            <w:vMerge w:val="continue"/>
            <w:tcBorders>
              <w:left w:val="single" w:color="auto" w:sz="4" w:space="0"/>
              <w:bottom w:val="single" w:color="auto" w:sz="4" w:space="0"/>
              <w:right w:val="single" w:color="auto" w:sz="4" w:space="0"/>
            </w:tcBorders>
            <w:shd w:val="clear" w:color="000000" w:fill="FFFFFF"/>
            <w:noWrap/>
            <w:vAlign w:val="center"/>
          </w:tcPr>
          <w:p>
            <w:pPr>
              <w:rPr>
                <w:szCs w:val="20"/>
                <w:highlight w:val="none"/>
                <w:lang w:eastAsia="pt-BR"/>
              </w:rPr>
            </w:pPr>
          </w:p>
        </w:tc>
        <w:tc>
          <w:tcPr>
            <w:tcW w:w="1609" w:type="dxa"/>
            <w:tcBorders>
              <w:top w:val="nil"/>
              <w:left w:val="single" w:color="auto" w:sz="4" w:space="0"/>
              <w:bottom w:val="single" w:color="auto" w:sz="4" w:space="0"/>
              <w:right w:val="single" w:color="auto" w:sz="4" w:space="0"/>
            </w:tcBorders>
            <w:shd w:val="clear" w:color="000000" w:fill="FFFFFF"/>
            <w:noWrap/>
            <w:vAlign w:val="center"/>
          </w:tcPr>
          <w:p>
            <w:pPr>
              <w:rPr>
                <w:szCs w:val="20"/>
                <w:highlight w:val="none"/>
                <w:lang w:eastAsia="pt-BR"/>
              </w:rPr>
            </w:pPr>
            <w:r>
              <w:rPr>
                <w:szCs w:val="20"/>
                <w:highlight w:val="none"/>
                <w:lang w:eastAsia="pt-BR"/>
              </w:rPr>
              <w:t>_____/_____</w:t>
            </w:r>
          </w:p>
        </w:tc>
        <w:tc>
          <w:tcPr>
            <w:tcW w:w="1368" w:type="dxa"/>
            <w:tcBorders>
              <w:top w:val="nil"/>
              <w:left w:val="nil"/>
              <w:bottom w:val="single" w:color="auto" w:sz="4" w:space="0"/>
              <w:right w:val="single" w:color="auto" w:sz="4" w:space="0"/>
            </w:tcBorders>
            <w:shd w:val="clear" w:color="000000" w:fill="FFFFFF"/>
            <w:noWrap/>
            <w:vAlign w:val="center"/>
          </w:tcPr>
          <w:p>
            <w:pPr>
              <w:rPr>
                <w:szCs w:val="20"/>
                <w:highlight w:val="none"/>
                <w:lang w:eastAsia="pt-BR"/>
              </w:rPr>
            </w:pPr>
            <w:r>
              <w:rPr>
                <w:szCs w:val="20"/>
                <w:highlight w:val="none"/>
                <w:lang w:eastAsia="pt-BR"/>
              </w:rPr>
              <w:t>____/____</w:t>
            </w:r>
          </w:p>
        </w:tc>
      </w:tr>
    </w:tbl>
    <w:p>
      <w:pPr>
        <w:rPr>
          <w:szCs w:val="20"/>
          <w:highlight w:val="none"/>
        </w:rPr>
      </w:pPr>
    </w:p>
    <w:tbl>
      <w:tblPr>
        <w:tblStyle w:val="30"/>
        <w:tblW w:w="9185" w:type="dxa"/>
        <w:jc w:val="center"/>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4"/>
        <w:gridCol w:w="5349"/>
        <w:gridCol w:w="1416"/>
        <w:gridCol w:w="1776"/>
      </w:tblGrid>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5993" w:type="dxa"/>
            <w:gridSpan w:val="2"/>
            <w:vMerge w:val="restart"/>
            <w:shd w:val="clear" w:color="auto" w:fill="auto"/>
            <w:vAlign w:val="center"/>
          </w:tcPr>
          <w:p>
            <w:pPr>
              <w:jc w:val="center"/>
              <w:rPr>
                <w:b/>
                <w:szCs w:val="20"/>
                <w:highlight w:val="none"/>
              </w:rPr>
            </w:pPr>
            <w:r>
              <w:rPr>
                <w:b/>
                <w:szCs w:val="20"/>
                <w:highlight w:val="none"/>
              </w:rPr>
              <w:t>DISCRIMINAÇÃO</w:t>
            </w:r>
          </w:p>
        </w:tc>
        <w:tc>
          <w:tcPr>
            <w:tcW w:w="1416" w:type="dxa"/>
            <w:shd w:val="clear" w:color="auto" w:fill="auto"/>
            <w:vAlign w:val="center"/>
          </w:tcPr>
          <w:p>
            <w:pPr>
              <w:jc w:val="center"/>
              <w:rPr>
                <w:b/>
                <w:szCs w:val="20"/>
                <w:highlight w:val="none"/>
              </w:rPr>
            </w:pPr>
            <w:r>
              <w:rPr>
                <w:b/>
                <w:szCs w:val="20"/>
                <w:highlight w:val="none"/>
              </w:rPr>
              <w:t>HORISTA</w:t>
            </w:r>
          </w:p>
        </w:tc>
        <w:tc>
          <w:tcPr>
            <w:tcW w:w="1776" w:type="dxa"/>
            <w:shd w:val="clear" w:color="auto" w:fill="auto"/>
            <w:vAlign w:val="center"/>
          </w:tcPr>
          <w:p>
            <w:pPr>
              <w:jc w:val="center"/>
              <w:rPr>
                <w:b/>
                <w:szCs w:val="20"/>
                <w:highlight w:val="none"/>
              </w:rPr>
            </w:pPr>
            <w:r>
              <w:rPr>
                <w:b/>
                <w:szCs w:val="20"/>
                <w:highlight w:val="none"/>
              </w:rPr>
              <w:t>MENSALISTA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5993" w:type="dxa"/>
            <w:gridSpan w:val="2"/>
            <w:vMerge w:val="continue"/>
            <w:shd w:val="clear" w:color="auto" w:fill="auto"/>
            <w:vAlign w:val="center"/>
          </w:tcPr>
          <w:p>
            <w:pPr>
              <w:rPr>
                <w:szCs w:val="20"/>
                <w:highlight w:val="none"/>
              </w:rPr>
            </w:pPr>
          </w:p>
        </w:tc>
        <w:tc>
          <w:tcPr>
            <w:tcW w:w="1416" w:type="dxa"/>
            <w:shd w:val="clear" w:color="auto" w:fill="auto"/>
            <w:vAlign w:val="center"/>
          </w:tcPr>
          <w:p>
            <w:pPr>
              <w:jc w:val="center"/>
              <w:rPr>
                <w:b/>
                <w:szCs w:val="20"/>
                <w:highlight w:val="none"/>
              </w:rPr>
            </w:pPr>
            <w:r>
              <w:rPr>
                <w:b/>
                <w:szCs w:val="20"/>
                <w:highlight w:val="none"/>
              </w:rPr>
              <w:t>%</w:t>
            </w:r>
          </w:p>
        </w:tc>
        <w:tc>
          <w:tcPr>
            <w:tcW w:w="1776" w:type="dxa"/>
            <w:shd w:val="clear" w:color="auto" w:fill="auto"/>
            <w:vAlign w:val="center"/>
          </w:tcPr>
          <w:p>
            <w:pPr>
              <w:jc w:val="center"/>
              <w:rPr>
                <w:b/>
                <w:szCs w:val="20"/>
                <w:highlight w:val="none"/>
              </w:rPr>
            </w:pPr>
            <w:r>
              <w:rPr>
                <w:b/>
                <w:szCs w:val="20"/>
                <w:highlight w:val="none"/>
              </w:rPr>
              <w:t>%</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b/>
                <w:szCs w:val="20"/>
                <w:highlight w:val="none"/>
              </w:rPr>
            </w:pPr>
            <w:r>
              <w:rPr>
                <w:b/>
                <w:szCs w:val="20"/>
                <w:highlight w:val="none"/>
              </w:rPr>
              <w:t>A</w:t>
            </w:r>
          </w:p>
        </w:tc>
        <w:tc>
          <w:tcPr>
            <w:tcW w:w="8541" w:type="dxa"/>
            <w:gridSpan w:val="3"/>
            <w:shd w:val="clear" w:color="auto" w:fill="auto"/>
            <w:vAlign w:val="center"/>
          </w:tcPr>
          <w:p>
            <w:pPr>
              <w:rPr>
                <w:b/>
                <w:szCs w:val="20"/>
                <w:highlight w:val="none"/>
              </w:rPr>
            </w:pPr>
            <w:r>
              <w:rPr>
                <w:b/>
                <w:szCs w:val="20"/>
                <w:highlight w:val="none"/>
              </w:rPr>
              <w:t>ENCARGOS SOCIAIS BÁSICOS</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p>
        </w:tc>
        <w:tc>
          <w:tcPr>
            <w:tcW w:w="5349" w:type="dxa"/>
            <w:shd w:val="clear" w:color="auto" w:fill="auto"/>
            <w:vAlign w:val="center"/>
          </w:tcPr>
          <w:p>
            <w:pPr>
              <w:rPr>
                <w:szCs w:val="20"/>
                <w:highlight w:val="none"/>
              </w:rPr>
            </w:pPr>
          </w:p>
        </w:tc>
        <w:tc>
          <w:tcPr>
            <w:tcW w:w="1416" w:type="dxa"/>
            <w:shd w:val="clear" w:color="auto" w:fill="auto"/>
            <w:vAlign w:val="center"/>
          </w:tcPr>
          <w:p>
            <w:pPr>
              <w:jc w:val="center"/>
              <w:rPr>
                <w:szCs w:val="20"/>
                <w:highlight w:val="none"/>
              </w:rPr>
            </w:pPr>
          </w:p>
        </w:tc>
        <w:tc>
          <w:tcPr>
            <w:tcW w:w="1776" w:type="dxa"/>
            <w:shd w:val="clear" w:color="auto" w:fill="auto"/>
            <w:vAlign w:val="center"/>
          </w:tcPr>
          <w:p>
            <w:pPr>
              <w:jc w:val="center"/>
              <w:rPr>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p>
        </w:tc>
        <w:tc>
          <w:tcPr>
            <w:tcW w:w="5349" w:type="dxa"/>
            <w:shd w:val="clear" w:color="auto" w:fill="auto"/>
            <w:vAlign w:val="center"/>
          </w:tcPr>
          <w:p>
            <w:pPr>
              <w:rPr>
                <w:szCs w:val="20"/>
                <w:highlight w:val="none"/>
              </w:rPr>
            </w:pPr>
          </w:p>
        </w:tc>
        <w:tc>
          <w:tcPr>
            <w:tcW w:w="1416" w:type="dxa"/>
            <w:shd w:val="clear" w:color="auto" w:fill="auto"/>
            <w:vAlign w:val="center"/>
          </w:tcPr>
          <w:p>
            <w:pPr>
              <w:jc w:val="center"/>
              <w:rPr>
                <w:szCs w:val="20"/>
                <w:highlight w:val="none"/>
              </w:rPr>
            </w:pPr>
          </w:p>
        </w:tc>
        <w:tc>
          <w:tcPr>
            <w:tcW w:w="1776" w:type="dxa"/>
            <w:shd w:val="clear" w:color="auto" w:fill="auto"/>
            <w:vAlign w:val="center"/>
          </w:tcPr>
          <w:p>
            <w:pPr>
              <w:jc w:val="center"/>
              <w:rPr>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p>
        </w:tc>
        <w:tc>
          <w:tcPr>
            <w:tcW w:w="5349" w:type="dxa"/>
            <w:shd w:val="clear" w:color="auto" w:fill="auto"/>
            <w:vAlign w:val="center"/>
          </w:tcPr>
          <w:p>
            <w:pPr>
              <w:rPr>
                <w:szCs w:val="20"/>
                <w:highlight w:val="none"/>
              </w:rPr>
            </w:pPr>
          </w:p>
        </w:tc>
        <w:tc>
          <w:tcPr>
            <w:tcW w:w="1416" w:type="dxa"/>
            <w:shd w:val="clear" w:color="auto" w:fill="auto"/>
            <w:vAlign w:val="center"/>
          </w:tcPr>
          <w:p>
            <w:pPr>
              <w:jc w:val="center"/>
              <w:rPr>
                <w:szCs w:val="20"/>
                <w:highlight w:val="none"/>
              </w:rPr>
            </w:pPr>
          </w:p>
        </w:tc>
        <w:tc>
          <w:tcPr>
            <w:tcW w:w="1776" w:type="dxa"/>
            <w:shd w:val="clear" w:color="auto" w:fill="auto"/>
            <w:vAlign w:val="center"/>
          </w:tcPr>
          <w:p>
            <w:pPr>
              <w:jc w:val="center"/>
              <w:rPr>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p>
        </w:tc>
        <w:tc>
          <w:tcPr>
            <w:tcW w:w="5349" w:type="dxa"/>
            <w:shd w:val="clear" w:color="auto" w:fill="auto"/>
            <w:vAlign w:val="center"/>
          </w:tcPr>
          <w:p>
            <w:pPr>
              <w:rPr>
                <w:szCs w:val="20"/>
                <w:highlight w:val="none"/>
              </w:rPr>
            </w:pPr>
          </w:p>
        </w:tc>
        <w:tc>
          <w:tcPr>
            <w:tcW w:w="1416" w:type="dxa"/>
            <w:shd w:val="clear" w:color="auto" w:fill="auto"/>
            <w:vAlign w:val="center"/>
          </w:tcPr>
          <w:p>
            <w:pPr>
              <w:jc w:val="center"/>
              <w:rPr>
                <w:szCs w:val="20"/>
                <w:highlight w:val="none"/>
              </w:rPr>
            </w:pPr>
          </w:p>
        </w:tc>
        <w:tc>
          <w:tcPr>
            <w:tcW w:w="1776" w:type="dxa"/>
            <w:shd w:val="clear" w:color="auto" w:fill="auto"/>
            <w:vAlign w:val="center"/>
          </w:tcPr>
          <w:p>
            <w:pPr>
              <w:jc w:val="center"/>
              <w:rPr>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p>
        </w:tc>
        <w:tc>
          <w:tcPr>
            <w:tcW w:w="5349" w:type="dxa"/>
            <w:shd w:val="clear" w:color="auto" w:fill="auto"/>
            <w:vAlign w:val="center"/>
          </w:tcPr>
          <w:p>
            <w:pPr>
              <w:rPr>
                <w:szCs w:val="20"/>
                <w:highlight w:val="none"/>
              </w:rPr>
            </w:pPr>
          </w:p>
        </w:tc>
        <w:tc>
          <w:tcPr>
            <w:tcW w:w="1416" w:type="dxa"/>
            <w:shd w:val="clear" w:color="auto" w:fill="auto"/>
            <w:vAlign w:val="center"/>
          </w:tcPr>
          <w:p>
            <w:pPr>
              <w:jc w:val="center"/>
              <w:rPr>
                <w:szCs w:val="20"/>
                <w:highlight w:val="none"/>
              </w:rPr>
            </w:pPr>
          </w:p>
        </w:tc>
        <w:tc>
          <w:tcPr>
            <w:tcW w:w="1776" w:type="dxa"/>
            <w:shd w:val="clear" w:color="auto" w:fill="auto"/>
            <w:vAlign w:val="center"/>
          </w:tcPr>
          <w:p>
            <w:pPr>
              <w:jc w:val="center"/>
              <w:rPr>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p>
        </w:tc>
        <w:tc>
          <w:tcPr>
            <w:tcW w:w="5349" w:type="dxa"/>
            <w:shd w:val="clear" w:color="auto" w:fill="auto"/>
            <w:vAlign w:val="center"/>
          </w:tcPr>
          <w:p>
            <w:pPr>
              <w:rPr>
                <w:szCs w:val="20"/>
                <w:highlight w:val="none"/>
              </w:rPr>
            </w:pPr>
          </w:p>
        </w:tc>
        <w:tc>
          <w:tcPr>
            <w:tcW w:w="1416" w:type="dxa"/>
            <w:shd w:val="clear" w:color="auto" w:fill="auto"/>
            <w:vAlign w:val="center"/>
          </w:tcPr>
          <w:p>
            <w:pPr>
              <w:jc w:val="center"/>
              <w:rPr>
                <w:szCs w:val="20"/>
                <w:highlight w:val="none"/>
              </w:rPr>
            </w:pPr>
          </w:p>
        </w:tc>
        <w:tc>
          <w:tcPr>
            <w:tcW w:w="1776" w:type="dxa"/>
            <w:shd w:val="clear" w:color="auto" w:fill="auto"/>
            <w:vAlign w:val="center"/>
          </w:tcPr>
          <w:p>
            <w:pPr>
              <w:jc w:val="center"/>
              <w:rPr>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p>
        </w:tc>
        <w:tc>
          <w:tcPr>
            <w:tcW w:w="5349" w:type="dxa"/>
            <w:shd w:val="clear" w:color="auto" w:fill="auto"/>
            <w:vAlign w:val="center"/>
          </w:tcPr>
          <w:p>
            <w:pPr>
              <w:rPr>
                <w:szCs w:val="20"/>
                <w:highlight w:val="none"/>
              </w:rPr>
            </w:pPr>
          </w:p>
        </w:tc>
        <w:tc>
          <w:tcPr>
            <w:tcW w:w="1416" w:type="dxa"/>
            <w:shd w:val="clear" w:color="auto" w:fill="auto"/>
            <w:vAlign w:val="center"/>
          </w:tcPr>
          <w:p>
            <w:pPr>
              <w:jc w:val="center"/>
              <w:rPr>
                <w:szCs w:val="20"/>
                <w:highlight w:val="none"/>
              </w:rPr>
            </w:pPr>
          </w:p>
        </w:tc>
        <w:tc>
          <w:tcPr>
            <w:tcW w:w="1776" w:type="dxa"/>
            <w:shd w:val="clear" w:color="auto" w:fill="auto"/>
            <w:vAlign w:val="center"/>
          </w:tcPr>
          <w:p>
            <w:pPr>
              <w:jc w:val="center"/>
              <w:rPr>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p>
        </w:tc>
        <w:tc>
          <w:tcPr>
            <w:tcW w:w="5349" w:type="dxa"/>
            <w:shd w:val="clear" w:color="auto" w:fill="auto"/>
            <w:vAlign w:val="center"/>
          </w:tcPr>
          <w:p>
            <w:pPr>
              <w:rPr>
                <w:szCs w:val="20"/>
                <w:highlight w:val="none"/>
              </w:rPr>
            </w:pPr>
          </w:p>
        </w:tc>
        <w:tc>
          <w:tcPr>
            <w:tcW w:w="1416" w:type="dxa"/>
            <w:shd w:val="clear" w:color="auto" w:fill="auto"/>
            <w:vAlign w:val="center"/>
          </w:tcPr>
          <w:p>
            <w:pPr>
              <w:jc w:val="center"/>
              <w:rPr>
                <w:szCs w:val="20"/>
                <w:highlight w:val="none"/>
              </w:rPr>
            </w:pPr>
          </w:p>
        </w:tc>
        <w:tc>
          <w:tcPr>
            <w:tcW w:w="1776" w:type="dxa"/>
            <w:shd w:val="clear" w:color="auto" w:fill="auto"/>
            <w:vAlign w:val="center"/>
          </w:tcPr>
          <w:p>
            <w:pPr>
              <w:jc w:val="center"/>
              <w:rPr>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p>
        </w:tc>
        <w:tc>
          <w:tcPr>
            <w:tcW w:w="5349" w:type="dxa"/>
            <w:shd w:val="clear" w:color="auto" w:fill="auto"/>
            <w:vAlign w:val="center"/>
          </w:tcPr>
          <w:p>
            <w:pPr>
              <w:rPr>
                <w:szCs w:val="20"/>
                <w:highlight w:val="none"/>
              </w:rPr>
            </w:pPr>
          </w:p>
        </w:tc>
        <w:tc>
          <w:tcPr>
            <w:tcW w:w="1416" w:type="dxa"/>
            <w:shd w:val="clear" w:color="auto" w:fill="auto"/>
            <w:vAlign w:val="center"/>
          </w:tcPr>
          <w:p>
            <w:pPr>
              <w:jc w:val="center"/>
              <w:rPr>
                <w:szCs w:val="20"/>
                <w:highlight w:val="none"/>
              </w:rPr>
            </w:pPr>
          </w:p>
        </w:tc>
        <w:tc>
          <w:tcPr>
            <w:tcW w:w="1776" w:type="dxa"/>
            <w:shd w:val="clear" w:color="auto" w:fill="auto"/>
            <w:vAlign w:val="center"/>
          </w:tcPr>
          <w:p>
            <w:pPr>
              <w:jc w:val="center"/>
              <w:rPr>
                <w:szCs w:val="20"/>
                <w:highlight w:val="none"/>
              </w:rPr>
            </w:pPr>
          </w:p>
        </w:tc>
      </w:tr>
      <w:tr>
        <w:tblPrEx>
          <w:tblLayout w:type="fixed"/>
          <w:tblCellMar>
            <w:top w:w="0" w:type="dxa"/>
            <w:left w:w="108" w:type="dxa"/>
            <w:bottom w:w="0" w:type="dxa"/>
            <w:right w:w="108" w:type="dxa"/>
          </w:tblCellMar>
        </w:tblPrEx>
        <w:trPr>
          <w:trHeight w:val="113" w:hRule="atLeast"/>
          <w:jc w:val="center"/>
        </w:trPr>
        <w:tc>
          <w:tcPr>
            <w:tcW w:w="5993" w:type="dxa"/>
            <w:gridSpan w:val="2"/>
            <w:shd w:val="clear" w:color="auto" w:fill="auto"/>
            <w:vAlign w:val="center"/>
          </w:tcPr>
          <w:p>
            <w:pPr>
              <w:jc w:val="right"/>
              <w:rPr>
                <w:b/>
                <w:szCs w:val="20"/>
                <w:highlight w:val="none"/>
              </w:rPr>
            </w:pPr>
            <w:r>
              <w:rPr>
                <w:b/>
                <w:szCs w:val="20"/>
                <w:highlight w:val="none"/>
              </w:rPr>
              <w:t>SUBTOTAL DE “A”:</w:t>
            </w:r>
          </w:p>
        </w:tc>
        <w:tc>
          <w:tcPr>
            <w:tcW w:w="1416" w:type="dxa"/>
            <w:shd w:val="clear" w:color="auto" w:fill="auto"/>
            <w:vAlign w:val="center"/>
          </w:tcPr>
          <w:p>
            <w:pPr>
              <w:jc w:val="center"/>
              <w:rPr>
                <w:b/>
                <w:szCs w:val="20"/>
                <w:highlight w:val="none"/>
              </w:rPr>
            </w:pPr>
          </w:p>
        </w:tc>
        <w:tc>
          <w:tcPr>
            <w:tcW w:w="1776" w:type="dxa"/>
            <w:shd w:val="clear" w:color="auto" w:fill="auto"/>
            <w:vAlign w:val="center"/>
          </w:tcPr>
          <w:p>
            <w:pPr>
              <w:jc w:val="center"/>
              <w:rPr>
                <w:b/>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b/>
                <w:szCs w:val="20"/>
                <w:highlight w:val="none"/>
              </w:rPr>
            </w:pPr>
            <w:r>
              <w:rPr>
                <w:b/>
                <w:szCs w:val="20"/>
                <w:highlight w:val="none"/>
              </w:rPr>
              <w:t>B</w:t>
            </w:r>
          </w:p>
        </w:tc>
        <w:tc>
          <w:tcPr>
            <w:tcW w:w="8541" w:type="dxa"/>
            <w:gridSpan w:val="3"/>
            <w:shd w:val="clear" w:color="auto" w:fill="auto"/>
            <w:vAlign w:val="center"/>
          </w:tcPr>
          <w:p>
            <w:pPr>
              <w:rPr>
                <w:b/>
                <w:szCs w:val="20"/>
                <w:highlight w:val="none"/>
              </w:rPr>
            </w:pPr>
            <w:r>
              <w:rPr>
                <w:b/>
                <w:szCs w:val="20"/>
                <w:highlight w:val="none"/>
              </w:rPr>
              <w:t>ENCARGOS SOCIAIS QUE RECEBEM INCIDÊNCIA DE “A”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p>
        </w:tc>
        <w:tc>
          <w:tcPr>
            <w:tcW w:w="5349" w:type="dxa"/>
            <w:shd w:val="clear" w:color="auto" w:fill="auto"/>
            <w:vAlign w:val="center"/>
          </w:tcPr>
          <w:p>
            <w:pPr>
              <w:rPr>
                <w:szCs w:val="20"/>
                <w:highlight w:val="none"/>
              </w:rPr>
            </w:pPr>
          </w:p>
        </w:tc>
        <w:tc>
          <w:tcPr>
            <w:tcW w:w="1416" w:type="dxa"/>
            <w:shd w:val="clear" w:color="auto" w:fill="auto"/>
            <w:vAlign w:val="center"/>
          </w:tcPr>
          <w:p>
            <w:pPr>
              <w:jc w:val="center"/>
              <w:rPr>
                <w:szCs w:val="20"/>
                <w:highlight w:val="none"/>
              </w:rPr>
            </w:pPr>
          </w:p>
        </w:tc>
        <w:tc>
          <w:tcPr>
            <w:tcW w:w="1776" w:type="dxa"/>
            <w:shd w:val="clear" w:color="auto" w:fill="auto"/>
            <w:vAlign w:val="center"/>
          </w:tcPr>
          <w:p>
            <w:pPr>
              <w:jc w:val="center"/>
              <w:rPr>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p>
        </w:tc>
        <w:tc>
          <w:tcPr>
            <w:tcW w:w="5349" w:type="dxa"/>
            <w:shd w:val="clear" w:color="auto" w:fill="auto"/>
            <w:vAlign w:val="center"/>
          </w:tcPr>
          <w:p>
            <w:pPr>
              <w:rPr>
                <w:szCs w:val="20"/>
                <w:highlight w:val="none"/>
              </w:rPr>
            </w:pPr>
          </w:p>
        </w:tc>
        <w:tc>
          <w:tcPr>
            <w:tcW w:w="1416" w:type="dxa"/>
            <w:shd w:val="clear" w:color="auto" w:fill="auto"/>
            <w:vAlign w:val="center"/>
          </w:tcPr>
          <w:p>
            <w:pPr>
              <w:jc w:val="center"/>
              <w:rPr>
                <w:szCs w:val="20"/>
                <w:highlight w:val="none"/>
              </w:rPr>
            </w:pPr>
          </w:p>
        </w:tc>
        <w:tc>
          <w:tcPr>
            <w:tcW w:w="1776" w:type="dxa"/>
            <w:shd w:val="clear" w:color="auto" w:fill="auto"/>
            <w:vAlign w:val="center"/>
          </w:tcPr>
          <w:p>
            <w:pPr>
              <w:jc w:val="center"/>
              <w:rPr>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p>
        </w:tc>
        <w:tc>
          <w:tcPr>
            <w:tcW w:w="5349" w:type="dxa"/>
            <w:shd w:val="clear" w:color="auto" w:fill="auto"/>
            <w:vAlign w:val="center"/>
          </w:tcPr>
          <w:p>
            <w:pPr>
              <w:rPr>
                <w:szCs w:val="20"/>
                <w:highlight w:val="none"/>
              </w:rPr>
            </w:pPr>
          </w:p>
        </w:tc>
        <w:tc>
          <w:tcPr>
            <w:tcW w:w="1416" w:type="dxa"/>
            <w:shd w:val="clear" w:color="auto" w:fill="auto"/>
            <w:vAlign w:val="center"/>
          </w:tcPr>
          <w:p>
            <w:pPr>
              <w:jc w:val="center"/>
              <w:rPr>
                <w:szCs w:val="20"/>
                <w:highlight w:val="none"/>
              </w:rPr>
            </w:pPr>
          </w:p>
        </w:tc>
        <w:tc>
          <w:tcPr>
            <w:tcW w:w="1776" w:type="dxa"/>
            <w:shd w:val="clear" w:color="auto" w:fill="auto"/>
            <w:vAlign w:val="center"/>
          </w:tcPr>
          <w:p>
            <w:pPr>
              <w:jc w:val="center"/>
              <w:rPr>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p>
        </w:tc>
        <w:tc>
          <w:tcPr>
            <w:tcW w:w="5349" w:type="dxa"/>
            <w:shd w:val="clear" w:color="auto" w:fill="auto"/>
            <w:vAlign w:val="center"/>
          </w:tcPr>
          <w:p>
            <w:pPr>
              <w:rPr>
                <w:szCs w:val="20"/>
                <w:highlight w:val="none"/>
              </w:rPr>
            </w:pPr>
          </w:p>
        </w:tc>
        <w:tc>
          <w:tcPr>
            <w:tcW w:w="1416" w:type="dxa"/>
            <w:shd w:val="clear" w:color="auto" w:fill="auto"/>
            <w:vAlign w:val="center"/>
          </w:tcPr>
          <w:p>
            <w:pPr>
              <w:jc w:val="center"/>
              <w:rPr>
                <w:szCs w:val="20"/>
                <w:highlight w:val="none"/>
              </w:rPr>
            </w:pPr>
          </w:p>
        </w:tc>
        <w:tc>
          <w:tcPr>
            <w:tcW w:w="1776" w:type="dxa"/>
            <w:shd w:val="clear" w:color="auto" w:fill="auto"/>
            <w:vAlign w:val="center"/>
          </w:tcPr>
          <w:p>
            <w:pPr>
              <w:jc w:val="center"/>
              <w:rPr>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p>
        </w:tc>
        <w:tc>
          <w:tcPr>
            <w:tcW w:w="5349" w:type="dxa"/>
            <w:shd w:val="clear" w:color="auto" w:fill="auto"/>
            <w:vAlign w:val="center"/>
          </w:tcPr>
          <w:p>
            <w:pPr>
              <w:rPr>
                <w:szCs w:val="20"/>
                <w:highlight w:val="none"/>
              </w:rPr>
            </w:pPr>
          </w:p>
        </w:tc>
        <w:tc>
          <w:tcPr>
            <w:tcW w:w="1416" w:type="dxa"/>
            <w:shd w:val="clear" w:color="auto" w:fill="auto"/>
            <w:vAlign w:val="center"/>
          </w:tcPr>
          <w:p>
            <w:pPr>
              <w:jc w:val="center"/>
              <w:rPr>
                <w:szCs w:val="20"/>
                <w:highlight w:val="none"/>
              </w:rPr>
            </w:pPr>
          </w:p>
        </w:tc>
        <w:tc>
          <w:tcPr>
            <w:tcW w:w="1776" w:type="dxa"/>
            <w:shd w:val="clear" w:color="auto" w:fill="auto"/>
            <w:vAlign w:val="center"/>
          </w:tcPr>
          <w:p>
            <w:pPr>
              <w:jc w:val="center"/>
              <w:rPr>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p>
        </w:tc>
        <w:tc>
          <w:tcPr>
            <w:tcW w:w="5349" w:type="dxa"/>
            <w:shd w:val="clear" w:color="auto" w:fill="auto"/>
            <w:vAlign w:val="center"/>
          </w:tcPr>
          <w:p>
            <w:pPr>
              <w:rPr>
                <w:szCs w:val="20"/>
                <w:highlight w:val="none"/>
              </w:rPr>
            </w:pPr>
          </w:p>
        </w:tc>
        <w:tc>
          <w:tcPr>
            <w:tcW w:w="1416" w:type="dxa"/>
            <w:shd w:val="clear" w:color="auto" w:fill="auto"/>
            <w:vAlign w:val="center"/>
          </w:tcPr>
          <w:p>
            <w:pPr>
              <w:jc w:val="center"/>
              <w:rPr>
                <w:szCs w:val="20"/>
                <w:highlight w:val="none"/>
              </w:rPr>
            </w:pPr>
          </w:p>
        </w:tc>
        <w:tc>
          <w:tcPr>
            <w:tcW w:w="1776" w:type="dxa"/>
            <w:shd w:val="clear" w:color="auto" w:fill="auto"/>
            <w:vAlign w:val="center"/>
          </w:tcPr>
          <w:p>
            <w:pPr>
              <w:jc w:val="center"/>
              <w:rPr>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p>
        </w:tc>
        <w:tc>
          <w:tcPr>
            <w:tcW w:w="5349" w:type="dxa"/>
            <w:shd w:val="clear" w:color="auto" w:fill="auto"/>
            <w:vAlign w:val="center"/>
          </w:tcPr>
          <w:p>
            <w:pPr>
              <w:rPr>
                <w:szCs w:val="20"/>
                <w:highlight w:val="none"/>
              </w:rPr>
            </w:pPr>
          </w:p>
        </w:tc>
        <w:tc>
          <w:tcPr>
            <w:tcW w:w="1416" w:type="dxa"/>
            <w:shd w:val="clear" w:color="auto" w:fill="auto"/>
            <w:vAlign w:val="center"/>
          </w:tcPr>
          <w:p>
            <w:pPr>
              <w:jc w:val="center"/>
              <w:rPr>
                <w:szCs w:val="20"/>
                <w:highlight w:val="none"/>
              </w:rPr>
            </w:pPr>
          </w:p>
        </w:tc>
        <w:tc>
          <w:tcPr>
            <w:tcW w:w="1776" w:type="dxa"/>
            <w:shd w:val="clear" w:color="auto" w:fill="auto"/>
            <w:vAlign w:val="center"/>
          </w:tcPr>
          <w:p>
            <w:pPr>
              <w:jc w:val="center"/>
              <w:rPr>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p>
        </w:tc>
        <w:tc>
          <w:tcPr>
            <w:tcW w:w="5349" w:type="dxa"/>
            <w:shd w:val="clear" w:color="auto" w:fill="auto"/>
            <w:vAlign w:val="center"/>
          </w:tcPr>
          <w:p>
            <w:pPr>
              <w:rPr>
                <w:szCs w:val="20"/>
                <w:highlight w:val="none"/>
              </w:rPr>
            </w:pPr>
          </w:p>
        </w:tc>
        <w:tc>
          <w:tcPr>
            <w:tcW w:w="1416" w:type="dxa"/>
            <w:shd w:val="clear" w:color="auto" w:fill="auto"/>
            <w:vAlign w:val="center"/>
          </w:tcPr>
          <w:p>
            <w:pPr>
              <w:jc w:val="center"/>
              <w:rPr>
                <w:szCs w:val="20"/>
                <w:highlight w:val="none"/>
              </w:rPr>
            </w:pPr>
          </w:p>
        </w:tc>
        <w:tc>
          <w:tcPr>
            <w:tcW w:w="1776" w:type="dxa"/>
            <w:shd w:val="clear" w:color="auto" w:fill="auto"/>
            <w:vAlign w:val="center"/>
          </w:tcPr>
          <w:p>
            <w:pPr>
              <w:jc w:val="center"/>
              <w:rPr>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p>
        </w:tc>
        <w:tc>
          <w:tcPr>
            <w:tcW w:w="5349" w:type="dxa"/>
            <w:shd w:val="clear" w:color="auto" w:fill="auto"/>
            <w:vAlign w:val="center"/>
          </w:tcPr>
          <w:p>
            <w:pPr>
              <w:rPr>
                <w:szCs w:val="20"/>
                <w:highlight w:val="none"/>
              </w:rPr>
            </w:pPr>
          </w:p>
        </w:tc>
        <w:tc>
          <w:tcPr>
            <w:tcW w:w="1416" w:type="dxa"/>
            <w:shd w:val="clear" w:color="auto" w:fill="auto"/>
            <w:vAlign w:val="center"/>
          </w:tcPr>
          <w:p>
            <w:pPr>
              <w:jc w:val="center"/>
              <w:rPr>
                <w:szCs w:val="20"/>
                <w:highlight w:val="none"/>
              </w:rPr>
            </w:pPr>
          </w:p>
        </w:tc>
        <w:tc>
          <w:tcPr>
            <w:tcW w:w="1776" w:type="dxa"/>
            <w:shd w:val="clear" w:color="auto" w:fill="auto"/>
            <w:vAlign w:val="center"/>
          </w:tcPr>
          <w:p>
            <w:pPr>
              <w:jc w:val="center"/>
              <w:rPr>
                <w:szCs w:val="20"/>
                <w:highlight w:val="none"/>
              </w:rPr>
            </w:pPr>
          </w:p>
        </w:tc>
      </w:tr>
      <w:tr>
        <w:tblPrEx>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p>
        </w:tc>
        <w:tc>
          <w:tcPr>
            <w:tcW w:w="5349" w:type="dxa"/>
            <w:shd w:val="clear" w:color="auto" w:fill="auto"/>
            <w:vAlign w:val="center"/>
          </w:tcPr>
          <w:p>
            <w:pPr>
              <w:rPr>
                <w:szCs w:val="20"/>
                <w:highlight w:val="none"/>
              </w:rPr>
            </w:pPr>
          </w:p>
        </w:tc>
        <w:tc>
          <w:tcPr>
            <w:tcW w:w="1416" w:type="dxa"/>
            <w:shd w:val="clear" w:color="auto" w:fill="auto"/>
            <w:vAlign w:val="center"/>
          </w:tcPr>
          <w:p>
            <w:pPr>
              <w:jc w:val="center"/>
              <w:rPr>
                <w:szCs w:val="20"/>
                <w:highlight w:val="none"/>
              </w:rPr>
            </w:pPr>
          </w:p>
        </w:tc>
        <w:tc>
          <w:tcPr>
            <w:tcW w:w="1776" w:type="dxa"/>
            <w:shd w:val="clear" w:color="auto" w:fill="auto"/>
            <w:vAlign w:val="center"/>
          </w:tcPr>
          <w:p>
            <w:pPr>
              <w:jc w:val="center"/>
              <w:rPr>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5993" w:type="dxa"/>
            <w:gridSpan w:val="2"/>
            <w:shd w:val="clear" w:color="auto" w:fill="auto"/>
            <w:vAlign w:val="center"/>
          </w:tcPr>
          <w:p>
            <w:pPr>
              <w:jc w:val="right"/>
              <w:rPr>
                <w:b/>
                <w:szCs w:val="20"/>
                <w:highlight w:val="none"/>
              </w:rPr>
            </w:pPr>
            <w:r>
              <w:rPr>
                <w:b/>
                <w:szCs w:val="20"/>
                <w:highlight w:val="none"/>
              </w:rPr>
              <w:t>SUBTOTAL DE “B”:</w:t>
            </w:r>
          </w:p>
        </w:tc>
        <w:tc>
          <w:tcPr>
            <w:tcW w:w="1416" w:type="dxa"/>
            <w:shd w:val="clear" w:color="auto" w:fill="auto"/>
            <w:vAlign w:val="center"/>
          </w:tcPr>
          <w:p>
            <w:pPr>
              <w:jc w:val="center"/>
              <w:rPr>
                <w:b/>
                <w:szCs w:val="20"/>
                <w:highlight w:val="none"/>
              </w:rPr>
            </w:pPr>
          </w:p>
        </w:tc>
        <w:tc>
          <w:tcPr>
            <w:tcW w:w="1776" w:type="dxa"/>
            <w:shd w:val="clear" w:color="auto" w:fill="auto"/>
            <w:vAlign w:val="center"/>
          </w:tcPr>
          <w:p>
            <w:pPr>
              <w:jc w:val="center"/>
              <w:rPr>
                <w:b/>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b/>
                <w:szCs w:val="20"/>
                <w:highlight w:val="none"/>
              </w:rPr>
            </w:pPr>
            <w:r>
              <w:rPr>
                <w:b/>
                <w:szCs w:val="20"/>
                <w:highlight w:val="none"/>
              </w:rPr>
              <w:t>C</w:t>
            </w:r>
          </w:p>
        </w:tc>
        <w:tc>
          <w:tcPr>
            <w:tcW w:w="8541" w:type="dxa"/>
            <w:gridSpan w:val="3"/>
            <w:shd w:val="clear" w:color="auto" w:fill="auto"/>
            <w:vAlign w:val="center"/>
          </w:tcPr>
          <w:p>
            <w:pPr>
              <w:rPr>
                <w:b/>
                <w:szCs w:val="20"/>
                <w:highlight w:val="none"/>
              </w:rPr>
            </w:pPr>
            <w:r>
              <w:rPr>
                <w:b/>
                <w:szCs w:val="20"/>
                <w:highlight w:val="none"/>
              </w:rPr>
              <w:t>ENCARGOS SOCIAIS QUE NÃO RECEBEM INCIDÊNCIA DE “A”</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p>
        </w:tc>
        <w:tc>
          <w:tcPr>
            <w:tcW w:w="5349" w:type="dxa"/>
            <w:shd w:val="clear" w:color="auto" w:fill="auto"/>
            <w:vAlign w:val="center"/>
          </w:tcPr>
          <w:p>
            <w:pPr>
              <w:rPr>
                <w:szCs w:val="20"/>
                <w:highlight w:val="none"/>
              </w:rPr>
            </w:pPr>
          </w:p>
        </w:tc>
        <w:tc>
          <w:tcPr>
            <w:tcW w:w="1416" w:type="dxa"/>
            <w:shd w:val="clear" w:color="auto" w:fill="auto"/>
            <w:vAlign w:val="center"/>
          </w:tcPr>
          <w:p>
            <w:pPr>
              <w:jc w:val="center"/>
              <w:rPr>
                <w:szCs w:val="20"/>
                <w:highlight w:val="none"/>
              </w:rPr>
            </w:pPr>
          </w:p>
        </w:tc>
        <w:tc>
          <w:tcPr>
            <w:tcW w:w="1776" w:type="dxa"/>
            <w:shd w:val="clear" w:color="auto" w:fill="auto"/>
            <w:vAlign w:val="center"/>
          </w:tcPr>
          <w:p>
            <w:pPr>
              <w:jc w:val="center"/>
              <w:rPr>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p>
        </w:tc>
        <w:tc>
          <w:tcPr>
            <w:tcW w:w="5349" w:type="dxa"/>
            <w:shd w:val="clear" w:color="auto" w:fill="auto"/>
            <w:vAlign w:val="center"/>
          </w:tcPr>
          <w:p>
            <w:pPr>
              <w:rPr>
                <w:szCs w:val="20"/>
                <w:highlight w:val="none"/>
              </w:rPr>
            </w:pPr>
          </w:p>
        </w:tc>
        <w:tc>
          <w:tcPr>
            <w:tcW w:w="1416" w:type="dxa"/>
            <w:shd w:val="clear" w:color="auto" w:fill="auto"/>
            <w:vAlign w:val="center"/>
          </w:tcPr>
          <w:p>
            <w:pPr>
              <w:jc w:val="center"/>
              <w:rPr>
                <w:szCs w:val="20"/>
                <w:highlight w:val="none"/>
              </w:rPr>
            </w:pPr>
          </w:p>
        </w:tc>
        <w:tc>
          <w:tcPr>
            <w:tcW w:w="1776" w:type="dxa"/>
            <w:shd w:val="clear" w:color="auto" w:fill="auto"/>
            <w:vAlign w:val="center"/>
          </w:tcPr>
          <w:p>
            <w:pPr>
              <w:jc w:val="center"/>
              <w:rPr>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p>
        </w:tc>
        <w:tc>
          <w:tcPr>
            <w:tcW w:w="5349" w:type="dxa"/>
            <w:shd w:val="clear" w:color="auto" w:fill="auto"/>
            <w:vAlign w:val="center"/>
          </w:tcPr>
          <w:p>
            <w:pPr>
              <w:rPr>
                <w:szCs w:val="20"/>
                <w:highlight w:val="none"/>
              </w:rPr>
            </w:pPr>
          </w:p>
        </w:tc>
        <w:tc>
          <w:tcPr>
            <w:tcW w:w="1416" w:type="dxa"/>
            <w:shd w:val="clear" w:color="auto" w:fill="auto"/>
            <w:vAlign w:val="center"/>
          </w:tcPr>
          <w:p>
            <w:pPr>
              <w:jc w:val="center"/>
              <w:rPr>
                <w:szCs w:val="20"/>
                <w:highlight w:val="none"/>
              </w:rPr>
            </w:pPr>
          </w:p>
        </w:tc>
        <w:tc>
          <w:tcPr>
            <w:tcW w:w="1776" w:type="dxa"/>
            <w:shd w:val="clear" w:color="auto" w:fill="auto"/>
            <w:vAlign w:val="center"/>
          </w:tcPr>
          <w:p>
            <w:pPr>
              <w:jc w:val="center"/>
              <w:rPr>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p>
        </w:tc>
        <w:tc>
          <w:tcPr>
            <w:tcW w:w="5349" w:type="dxa"/>
            <w:shd w:val="clear" w:color="auto" w:fill="auto"/>
            <w:vAlign w:val="center"/>
          </w:tcPr>
          <w:p>
            <w:pPr>
              <w:rPr>
                <w:szCs w:val="20"/>
                <w:highlight w:val="none"/>
              </w:rPr>
            </w:pPr>
          </w:p>
        </w:tc>
        <w:tc>
          <w:tcPr>
            <w:tcW w:w="1416" w:type="dxa"/>
            <w:shd w:val="clear" w:color="auto" w:fill="auto"/>
            <w:vAlign w:val="center"/>
          </w:tcPr>
          <w:p>
            <w:pPr>
              <w:jc w:val="center"/>
              <w:rPr>
                <w:szCs w:val="20"/>
                <w:highlight w:val="none"/>
              </w:rPr>
            </w:pPr>
          </w:p>
        </w:tc>
        <w:tc>
          <w:tcPr>
            <w:tcW w:w="1776" w:type="dxa"/>
            <w:shd w:val="clear" w:color="auto" w:fill="auto"/>
            <w:vAlign w:val="center"/>
          </w:tcPr>
          <w:p>
            <w:pPr>
              <w:jc w:val="center"/>
              <w:rPr>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p>
        </w:tc>
        <w:tc>
          <w:tcPr>
            <w:tcW w:w="5349" w:type="dxa"/>
            <w:shd w:val="clear" w:color="auto" w:fill="auto"/>
            <w:vAlign w:val="center"/>
          </w:tcPr>
          <w:p>
            <w:pPr>
              <w:rPr>
                <w:szCs w:val="20"/>
                <w:highlight w:val="none"/>
              </w:rPr>
            </w:pPr>
          </w:p>
        </w:tc>
        <w:tc>
          <w:tcPr>
            <w:tcW w:w="1416" w:type="dxa"/>
            <w:shd w:val="clear" w:color="auto" w:fill="auto"/>
            <w:vAlign w:val="center"/>
          </w:tcPr>
          <w:p>
            <w:pPr>
              <w:jc w:val="center"/>
              <w:rPr>
                <w:szCs w:val="20"/>
                <w:highlight w:val="none"/>
              </w:rPr>
            </w:pPr>
          </w:p>
        </w:tc>
        <w:tc>
          <w:tcPr>
            <w:tcW w:w="1776" w:type="dxa"/>
            <w:shd w:val="clear" w:color="auto" w:fill="auto"/>
            <w:vAlign w:val="center"/>
          </w:tcPr>
          <w:p>
            <w:pPr>
              <w:jc w:val="center"/>
              <w:rPr>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5993" w:type="dxa"/>
            <w:gridSpan w:val="2"/>
            <w:shd w:val="clear" w:color="auto" w:fill="auto"/>
            <w:vAlign w:val="center"/>
          </w:tcPr>
          <w:p>
            <w:pPr>
              <w:jc w:val="right"/>
              <w:rPr>
                <w:b/>
                <w:szCs w:val="20"/>
                <w:highlight w:val="none"/>
              </w:rPr>
            </w:pPr>
            <w:r>
              <w:rPr>
                <w:b/>
                <w:szCs w:val="20"/>
                <w:highlight w:val="none"/>
              </w:rPr>
              <w:t>SUBTOTAL DE “C”:</w:t>
            </w:r>
          </w:p>
        </w:tc>
        <w:tc>
          <w:tcPr>
            <w:tcW w:w="1416" w:type="dxa"/>
            <w:shd w:val="clear" w:color="auto" w:fill="auto"/>
            <w:vAlign w:val="center"/>
          </w:tcPr>
          <w:p>
            <w:pPr>
              <w:jc w:val="center"/>
              <w:rPr>
                <w:b/>
                <w:szCs w:val="20"/>
                <w:highlight w:val="none"/>
              </w:rPr>
            </w:pPr>
          </w:p>
        </w:tc>
        <w:tc>
          <w:tcPr>
            <w:tcW w:w="1776" w:type="dxa"/>
            <w:shd w:val="clear" w:color="auto" w:fill="auto"/>
            <w:vAlign w:val="center"/>
          </w:tcPr>
          <w:p>
            <w:pPr>
              <w:jc w:val="center"/>
              <w:rPr>
                <w:b/>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b/>
                <w:szCs w:val="20"/>
                <w:highlight w:val="none"/>
              </w:rPr>
            </w:pPr>
            <w:r>
              <w:rPr>
                <w:b/>
                <w:szCs w:val="20"/>
                <w:highlight w:val="none"/>
              </w:rPr>
              <w:t>D</w:t>
            </w:r>
          </w:p>
        </w:tc>
        <w:tc>
          <w:tcPr>
            <w:tcW w:w="8541" w:type="dxa"/>
            <w:gridSpan w:val="3"/>
            <w:shd w:val="clear" w:color="auto" w:fill="auto"/>
            <w:vAlign w:val="center"/>
          </w:tcPr>
          <w:p>
            <w:pPr>
              <w:rPr>
                <w:b/>
                <w:szCs w:val="20"/>
                <w:highlight w:val="none"/>
              </w:rPr>
            </w:pPr>
            <w:r>
              <w:rPr>
                <w:b/>
                <w:szCs w:val="20"/>
                <w:highlight w:val="none"/>
              </w:rPr>
              <w:t>REINCIDÊNCIAS DE UM GRUPO SOBRE O OUTRO</w:t>
            </w: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p>
        </w:tc>
        <w:tc>
          <w:tcPr>
            <w:tcW w:w="5349" w:type="dxa"/>
            <w:shd w:val="clear" w:color="auto" w:fill="auto"/>
            <w:vAlign w:val="center"/>
          </w:tcPr>
          <w:p>
            <w:pPr>
              <w:rPr>
                <w:szCs w:val="20"/>
                <w:highlight w:val="none"/>
              </w:rPr>
            </w:pPr>
          </w:p>
        </w:tc>
        <w:tc>
          <w:tcPr>
            <w:tcW w:w="1416" w:type="dxa"/>
            <w:shd w:val="clear" w:color="auto" w:fill="auto"/>
            <w:vAlign w:val="center"/>
          </w:tcPr>
          <w:p>
            <w:pPr>
              <w:jc w:val="center"/>
              <w:rPr>
                <w:szCs w:val="20"/>
                <w:highlight w:val="none"/>
              </w:rPr>
            </w:pPr>
          </w:p>
        </w:tc>
        <w:tc>
          <w:tcPr>
            <w:tcW w:w="1776" w:type="dxa"/>
            <w:shd w:val="clear" w:color="auto" w:fill="auto"/>
            <w:vAlign w:val="center"/>
          </w:tcPr>
          <w:p>
            <w:pPr>
              <w:jc w:val="center"/>
              <w:rPr>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644" w:type="dxa"/>
            <w:shd w:val="clear" w:color="auto" w:fill="auto"/>
            <w:vAlign w:val="center"/>
          </w:tcPr>
          <w:p>
            <w:pPr>
              <w:jc w:val="center"/>
              <w:rPr>
                <w:szCs w:val="20"/>
                <w:highlight w:val="none"/>
              </w:rPr>
            </w:pPr>
          </w:p>
        </w:tc>
        <w:tc>
          <w:tcPr>
            <w:tcW w:w="5349" w:type="dxa"/>
            <w:shd w:val="clear" w:color="auto" w:fill="auto"/>
            <w:vAlign w:val="center"/>
          </w:tcPr>
          <w:p>
            <w:pPr>
              <w:rPr>
                <w:szCs w:val="20"/>
                <w:highlight w:val="none"/>
              </w:rPr>
            </w:pPr>
          </w:p>
        </w:tc>
        <w:tc>
          <w:tcPr>
            <w:tcW w:w="1416" w:type="dxa"/>
            <w:shd w:val="clear" w:color="auto" w:fill="auto"/>
            <w:vAlign w:val="center"/>
          </w:tcPr>
          <w:p>
            <w:pPr>
              <w:jc w:val="center"/>
              <w:rPr>
                <w:szCs w:val="20"/>
                <w:highlight w:val="none"/>
              </w:rPr>
            </w:pPr>
          </w:p>
        </w:tc>
        <w:tc>
          <w:tcPr>
            <w:tcW w:w="1776" w:type="dxa"/>
            <w:shd w:val="clear" w:color="auto" w:fill="auto"/>
            <w:vAlign w:val="center"/>
          </w:tcPr>
          <w:p>
            <w:pPr>
              <w:jc w:val="center"/>
              <w:rPr>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5993" w:type="dxa"/>
            <w:gridSpan w:val="2"/>
            <w:shd w:val="clear" w:color="auto" w:fill="auto"/>
            <w:vAlign w:val="center"/>
          </w:tcPr>
          <w:p>
            <w:pPr>
              <w:jc w:val="right"/>
              <w:rPr>
                <w:b/>
                <w:szCs w:val="20"/>
                <w:highlight w:val="none"/>
              </w:rPr>
            </w:pPr>
            <w:r>
              <w:rPr>
                <w:b/>
                <w:szCs w:val="20"/>
                <w:highlight w:val="none"/>
              </w:rPr>
              <w:t>SUBTOTAL DE “D”:</w:t>
            </w:r>
          </w:p>
        </w:tc>
        <w:tc>
          <w:tcPr>
            <w:tcW w:w="1416" w:type="dxa"/>
            <w:shd w:val="clear" w:color="auto" w:fill="auto"/>
            <w:vAlign w:val="center"/>
          </w:tcPr>
          <w:p>
            <w:pPr>
              <w:jc w:val="center"/>
              <w:rPr>
                <w:b/>
                <w:szCs w:val="20"/>
                <w:highlight w:val="none"/>
              </w:rPr>
            </w:pPr>
          </w:p>
        </w:tc>
        <w:tc>
          <w:tcPr>
            <w:tcW w:w="1776" w:type="dxa"/>
            <w:shd w:val="clear" w:color="auto" w:fill="auto"/>
            <w:vAlign w:val="center"/>
          </w:tcPr>
          <w:p>
            <w:pPr>
              <w:jc w:val="center"/>
              <w:rPr>
                <w:b/>
                <w:szCs w:val="20"/>
                <w:highlight w:val="none"/>
              </w:rPr>
            </w:pPr>
          </w:p>
        </w:tc>
      </w:tr>
      <w:tr>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Ex>
        <w:trPr>
          <w:trHeight w:val="113" w:hRule="atLeast"/>
          <w:jc w:val="center"/>
        </w:trPr>
        <w:tc>
          <w:tcPr>
            <w:tcW w:w="5993" w:type="dxa"/>
            <w:gridSpan w:val="2"/>
            <w:shd w:val="clear" w:color="auto" w:fill="auto"/>
            <w:vAlign w:val="center"/>
          </w:tcPr>
          <w:p>
            <w:pPr>
              <w:jc w:val="right"/>
              <w:rPr>
                <w:b/>
                <w:szCs w:val="20"/>
                <w:highlight w:val="none"/>
              </w:rPr>
            </w:pPr>
            <w:r>
              <w:rPr>
                <w:b/>
                <w:szCs w:val="20"/>
                <w:highlight w:val="none"/>
              </w:rPr>
              <w:t>TOTAIS DE ENCARGOS SOCIAIS:</w:t>
            </w:r>
          </w:p>
        </w:tc>
        <w:tc>
          <w:tcPr>
            <w:tcW w:w="1416" w:type="dxa"/>
            <w:shd w:val="clear" w:color="auto" w:fill="auto"/>
            <w:vAlign w:val="center"/>
          </w:tcPr>
          <w:p>
            <w:pPr>
              <w:jc w:val="center"/>
              <w:rPr>
                <w:b/>
                <w:szCs w:val="20"/>
                <w:highlight w:val="none"/>
              </w:rPr>
            </w:pPr>
          </w:p>
        </w:tc>
        <w:tc>
          <w:tcPr>
            <w:tcW w:w="1776" w:type="dxa"/>
            <w:shd w:val="clear" w:color="auto" w:fill="auto"/>
            <w:vAlign w:val="center"/>
          </w:tcPr>
          <w:p>
            <w:pPr>
              <w:jc w:val="center"/>
              <w:rPr>
                <w:b/>
                <w:szCs w:val="20"/>
                <w:highlight w:val="none"/>
              </w:rPr>
            </w:pPr>
          </w:p>
        </w:tc>
      </w:tr>
    </w:tbl>
    <w:p>
      <w:pPr>
        <w:rPr>
          <w:szCs w:val="20"/>
          <w:highlight w:val="none"/>
        </w:rPr>
      </w:pPr>
    </w:p>
    <w:p>
      <w:pPr>
        <w:jc w:val="center"/>
        <w:rPr>
          <w:b/>
          <w:szCs w:val="20"/>
          <w:highlight w:val="none"/>
          <w:lang w:eastAsia="pt-BR"/>
        </w:rPr>
      </w:pPr>
      <w:r>
        <w:rPr>
          <w:szCs w:val="20"/>
          <w:highlight w:val="none"/>
        </w:rPr>
        <w:br w:type="page"/>
      </w:r>
      <w:r>
        <w:rPr>
          <w:b/>
          <w:szCs w:val="20"/>
          <w:highlight w:val="none"/>
        </w:rPr>
        <w:t>Detalhamento</w:t>
      </w:r>
      <w:r>
        <w:rPr>
          <w:b/>
          <w:szCs w:val="20"/>
          <w:highlight w:val="none"/>
          <w:lang w:eastAsia="pt-BR"/>
        </w:rPr>
        <w:t xml:space="preserve"> do BDI – Serviços – Sem Desoneração</w:t>
      </w:r>
    </w:p>
    <w:p>
      <w:pPr>
        <w:rPr>
          <w:szCs w:val="20"/>
          <w:highlight w:val="none"/>
          <w:lang w:eastAsia="pt-BR"/>
        </w:rPr>
      </w:pPr>
    </w:p>
    <w:p>
      <w:pPr>
        <w:jc w:val="center"/>
        <w:rPr>
          <w:b/>
          <w:szCs w:val="20"/>
          <w:highlight w:val="none"/>
          <w:lang w:eastAsia="pt-BR"/>
        </w:rPr>
      </w:pPr>
      <w:r>
        <w:rPr>
          <w:b/>
          <w:szCs w:val="20"/>
          <w:highlight w:val="none"/>
          <w:lang w:eastAsia="pt-BR"/>
        </w:rPr>
        <w:t>QUADRO DBDI-S</w:t>
      </w:r>
    </w:p>
    <w:p>
      <w:pPr>
        <w:rPr>
          <w:szCs w:val="20"/>
          <w:highlight w:val="none"/>
          <w:lang w:eastAsia="pt-BR"/>
        </w:rPr>
      </w:pPr>
    </w:p>
    <w:tbl>
      <w:tblPr>
        <w:tblStyle w:val="30"/>
        <w:tblW w:w="8526" w:type="dxa"/>
        <w:jc w:val="center"/>
        <w:tblInd w:w="0" w:type="dxa"/>
        <w:tblLayout w:type="fixed"/>
        <w:tblCellMar>
          <w:top w:w="0" w:type="dxa"/>
          <w:left w:w="70" w:type="dxa"/>
          <w:bottom w:w="0" w:type="dxa"/>
          <w:right w:w="70" w:type="dxa"/>
        </w:tblCellMar>
      </w:tblPr>
      <w:tblGrid>
        <w:gridCol w:w="5873"/>
        <w:gridCol w:w="1536"/>
        <w:gridCol w:w="1117"/>
      </w:tblGrid>
      <w:tr>
        <w:tblPrEx>
          <w:tblLayout w:type="fixed"/>
          <w:tblCellMar>
            <w:top w:w="0" w:type="dxa"/>
            <w:left w:w="70" w:type="dxa"/>
            <w:bottom w:w="0" w:type="dxa"/>
            <w:right w:w="70" w:type="dxa"/>
          </w:tblCellMar>
        </w:tblPrEx>
        <w:trPr>
          <w:trHeight w:val="315" w:hRule="atLeast"/>
          <w:jc w:val="center"/>
        </w:trPr>
        <w:tc>
          <w:tcPr>
            <w:tcW w:w="8526" w:type="dxa"/>
            <w:gridSpan w:val="3"/>
            <w:tcBorders>
              <w:top w:val="single" w:color="auto" w:sz="4" w:space="0"/>
              <w:left w:val="single" w:color="auto" w:sz="4" w:space="0"/>
              <w:bottom w:val="nil"/>
              <w:right w:val="single" w:color="auto" w:sz="4" w:space="0"/>
            </w:tcBorders>
            <w:shd w:val="clear" w:color="000000" w:fill="FFFFFF"/>
            <w:noWrap/>
            <w:vAlign w:val="center"/>
          </w:tcPr>
          <w:p>
            <w:pPr>
              <w:rPr>
                <w:szCs w:val="20"/>
                <w:highlight w:val="none"/>
                <w:lang w:eastAsia="pt-BR"/>
              </w:rPr>
            </w:pPr>
            <w:r>
              <w:rPr>
                <w:szCs w:val="20"/>
                <w:highlight w:val="none"/>
                <w:lang w:eastAsia="pt-BR"/>
              </w:rPr>
              <w:t>NOME DA CONCORRENTE:</w:t>
            </w:r>
          </w:p>
        </w:tc>
      </w:tr>
      <w:tr>
        <w:tblPrEx>
          <w:tblLayout w:type="fixed"/>
          <w:tblCellMar>
            <w:top w:w="0" w:type="dxa"/>
            <w:left w:w="70" w:type="dxa"/>
            <w:bottom w:w="0" w:type="dxa"/>
            <w:right w:w="70" w:type="dxa"/>
          </w:tblCellMar>
        </w:tblPrEx>
        <w:trPr>
          <w:trHeight w:val="300" w:hRule="atLeast"/>
          <w:jc w:val="center"/>
        </w:trPr>
        <w:tc>
          <w:tcPr>
            <w:tcW w:w="5873" w:type="dxa"/>
            <w:vMerge w:val="restart"/>
            <w:tcBorders>
              <w:top w:val="single" w:color="auto" w:sz="4" w:space="0"/>
              <w:left w:val="single" w:color="auto" w:sz="4" w:space="0"/>
              <w:right w:val="single" w:color="auto" w:sz="4" w:space="0"/>
            </w:tcBorders>
            <w:shd w:val="clear" w:color="000000" w:fill="FFFFFF"/>
            <w:noWrap/>
            <w:vAlign w:val="center"/>
          </w:tcPr>
          <w:p>
            <w:pPr>
              <w:rPr>
                <w:szCs w:val="20"/>
                <w:highlight w:val="none"/>
                <w:lang w:eastAsia="pt-BR"/>
              </w:rPr>
            </w:pPr>
            <w:r>
              <w:rPr>
                <w:szCs w:val="20"/>
                <w:highlight w:val="none"/>
                <w:lang w:eastAsia="pt-BR"/>
              </w:rPr>
              <w:t>OBJETO:</w:t>
            </w:r>
          </w:p>
          <w:p>
            <w:pPr>
              <w:rPr>
                <w:szCs w:val="20"/>
                <w:highlight w:val="none"/>
                <w:lang w:eastAsia="pt-BR"/>
              </w:rPr>
            </w:pPr>
          </w:p>
        </w:tc>
        <w:tc>
          <w:tcPr>
            <w:tcW w:w="1536" w:type="dxa"/>
            <w:tcBorders>
              <w:top w:val="single" w:color="auto" w:sz="4" w:space="0"/>
              <w:left w:val="single" w:color="auto" w:sz="4" w:space="0"/>
              <w:bottom w:val="nil"/>
              <w:right w:val="single" w:color="auto" w:sz="4" w:space="0"/>
            </w:tcBorders>
            <w:shd w:val="clear" w:color="000000" w:fill="FFFFFF"/>
            <w:noWrap/>
            <w:vAlign w:val="center"/>
          </w:tcPr>
          <w:p>
            <w:pPr>
              <w:rPr>
                <w:szCs w:val="20"/>
                <w:highlight w:val="none"/>
                <w:lang w:eastAsia="pt-BR"/>
              </w:rPr>
            </w:pPr>
            <w:r>
              <w:rPr>
                <w:szCs w:val="20"/>
                <w:highlight w:val="none"/>
                <w:lang w:eastAsia="pt-BR"/>
              </w:rPr>
              <w:t>EDITAL</w:t>
            </w:r>
          </w:p>
        </w:tc>
        <w:tc>
          <w:tcPr>
            <w:tcW w:w="1117" w:type="dxa"/>
            <w:tcBorders>
              <w:top w:val="single" w:color="auto" w:sz="4" w:space="0"/>
              <w:left w:val="nil"/>
              <w:bottom w:val="nil"/>
              <w:right w:val="single" w:color="auto" w:sz="4" w:space="0"/>
            </w:tcBorders>
            <w:shd w:val="clear" w:color="000000" w:fill="FFFFFF"/>
            <w:noWrap/>
            <w:vAlign w:val="center"/>
          </w:tcPr>
          <w:p>
            <w:pPr>
              <w:rPr>
                <w:szCs w:val="20"/>
                <w:highlight w:val="none"/>
                <w:lang w:eastAsia="pt-BR"/>
              </w:rPr>
            </w:pPr>
            <w:r>
              <w:rPr>
                <w:szCs w:val="20"/>
                <w:highlight w:val="none"/>
                <w:lang w:eastAsia="pt-BR"/>
              </w:rPr>
              <w:t>FOLHA</w:t>
            </w:r>
          </w:p>
        </w:tc>
      </w:tr>
      <w:tr>
        <w:tblPrEx>
          <w:tblLayout w:type="fixed"/>
          <w:tblCellMar>
            <w:top w:w="0" w:type="dxa"/>
            <w:left w:w="70" w:type="dxa"/>
            <w:bottom w:w="0" w:type="dxa"/>
            <w:right w:w="70" w:type="dxa"/>
          </w:tblCellMar>
        </w:tblPrEx>
        <w:trPr>
          <w:trHeight w:val="315" w:hRule="atLeast"/>
          <w:jc w:val="center"/>
        </w:trPr>
        <w:tc>
          <w:tcPr>
            <w:tcW w:w="5873" w:type="dxa"/>
            <w:vMerge w:val="continue"/>
            <w:tcBorders>
              <w:left w:val="single" w:color="auto" w:sz="4" w:space="0"/>
              <w:bottom w:val="single" w:color="auto" w:sz="4" w:space="0"/>
              <w:right w:val="single" w:color="auto" w:sz="4" w:space="0"/>
            </w:tcBorders>
            <w:shd w:val="clear" w:color="000000" w:fill="FFFFFF"/>
            <w:noWrap/>
            <w:vAlign w:val="center"/>
          </w:tcPr>
          <w:p>
            <w:pPr>
              <w:rPr>
                <w:szCs w:val="20"/>
                <w:highlight w:val="none"/>
                <w:lang w:eastAsia="pt-BR"/>
              </w:rPr>
            </w:pPr>
          </w:p>
        </w:tc>
        <w:tc>
          <w:tcPr>
            <w:tcW w:w="1536" w:type="dxa"/>
            <w:tcBorders>
              <w:top w:val="nil"/>
              <w:left w:val="single" w:color="auto" w:sz="4" w:space="0"/>
              <w:bottom w:val="single" w:color="auto" w:sz="4" w:space="0"/>
              <w:right w:val="single" w:color="auto" w:sz="4" w:space="0"/>
            </w:tcBorders>
            <w:shd w:val="clear" w:color="000000" w:fill="FFFFFF"/>
            <w:noWrap/>
            <w:vAlign w:val="center"/>
          </w:tcPr>
          <w:p>
            <w:pPr>
              <w:rPr>
                <w:szCs w:val="20"/>
                <w:highlight w:val="none"/>
                <w:lang w:eastAsia="pt-BR"/>
              </w:rPr>
            </w:pPr>
            <w:r>
              <w:rPr>
                <w:szCs w:val="20"/>
                <w:highlight w:val="none"/>
                <w:lang w:eastAsia="pt-BR"/>
              </w:rPr>
              <w:t>______/_____</w:t>
            </w:r>
          </w:p>
        </w:tc>
        <w:tc>
          <w:tcPr>
            <w:tcW w:w="1117" w:type="dxa"/>
            <w:tcBorders>
              <w:top w:val="nil"/>
              <w:left w:val="nil"/>
              <w:bottom w:val="single" w:color="auto" w:sz="4" w:space="0"/>
              <w:right w:val="single" w:color="auto" w:sz="4" w:space="0"/>
            </w:tcBorders>
            <w:shd w:val="clear" w:color="000000" w:fill="FFFFFF"/>
            <w:noWrap/>
            <w:vAlign w:val="center"/>
          </w:tcPr>
          <w:p>
            <w:pPr>
              <w:rPr>
                <w:szCs w:val="20"/>
                <w:highlight w:val="none"/>
                <w:lang w:eastAsia="pt-BR"/>
              </w:rPr>
            </w:pPr>
            <w:r>
              <w:rPr>
                <w:szCs w:val="20"/>
                <w:highlight w:val="none"/>
                <w:lang w:eastAsia="pt-BR"/>
              </w:rPr>
              <w:t>____/____</w:t>
            </w:r>
          </w:p>
        </w:tc>
      </w:tr>
    </w:tbl>
    <w:p>
      <w:pPr>
        <w:rPr>
          <w:szCs w:val="20"/>
          <w:highlight w:val="none"/>
        </w:rPr>
      </w:pPr>
    </w:p>
    <w:tbl>
      <w:tblPr>
        <w:tblStyle w:val="30"/>
        <w:tblW w:w="8047" w:type="dxa"/>
        <w:jc w:val="center"/>
        <w:tblInd w:w="0" w:type="dxa"/>
        <w:tblLayout w:type="fixed"/>
        <w:tblCellMar>
          <w:top w:w="0" w:type="dxa"/>
          <w:left w:w="70" w:type="dxa"/>
          <w:bottom w:w="0" w:type="dxa"/>
          <w:right w:w="70" w:type="dxa"/>
        </w:tblCellMar>
      </w:tblPr>
      <w:tblGrid>
        <w:gridCol w:w="634"/>
        <w:gridCol w:w="3958"/>
        <w:gridCol w:w="2095"/>
        <w:gridCol w:w="1360"/>
      </w:tblGrid>
      <w:tr>
        <w:tblPrEx>
          <w:tblLayout w:type="fixed"/>
          <w:tblCellMar>
            <w:top w:w="0" w:type="dxa"/>
            <w:left w:w="70" w:type="dxa"/>
            <w:bottom w:w="0" w:type="dxa"/>
            <w:right w:w="70" w:type="dxa"/>
          </w:tblCellMar>
        </w:tblPrEx>
        <w:trPr>
          <w:trHeight w:val="255" w:hRule="atLeast"/>
          <w:jc w:val="center"/>
        </w:trPr>
        <w:tc>
          <w:tcPr>
            <w:tcW w:w="634" w:type="dxa"/>
            <w:tcBorders>
              <w:top w:val="single" w:color="auto" w:sz="4" w:space="0"/>
              <w:left w:val="single" w:color="auto" w:sz="4" w:space="0"/>
              <w:bottom w:val="single" w:color="auto" w:sz="4" w:space="0"/>
              <w:right w:val="single" w:color="auto" w:sz="4" w:space="0"/>
            </w:tcBorders>
            <w:shd w:val="clear" w:color="000000" w:fill="C0C0C0"/>
            <w:noWrap/>
            <w:vAlign w:val="center"/>
          </w:tcPr>
          <w:p>
            <w:pPr>
              <w:jc w:val="center"/>
              <w:rPr>
                <w:bCs/>
                <w:szCs w:val="20"/>
                <w:highlight w:val="none"/>
                <w:lang w:eastAsia="pt-BR"/>
              </w:rPr>
            </w:pPr>
            <w:r>
              <w:rPr>
                <w:bCs/>
                <w:szCs w:val="20"/>
                <w:highlight w:val="none"/>
                <w:lang w:eastAsia="pt-BR"/>
              </w:rPr>
              <w:t>Item</w:t>
            </w:r>
          </w:p>
        </w:tc>
        <w:tc>
          <w:tcPr>
            <w:tcW w:w="3958" w:type="dxa"/>
            <w:tcBorders>
              <w:top w:val="single" w:color="auto" w:sz="4" w:space="0"/>
              <w:left w:val="single" w:color="auto" w:sz="4" w:space="0"/>
              <w:bottom w:val="single" w:color="auto" w:sz="4" w:space="0"/>
              <w:right w:val="single" w:color="auto" w:sz="4" w:space="0"/>
            </w:tcBorders>
            <w:shd w:val="clear" w:color="000000" w:fill="C0C0C0"/>
            <w:noWrap/>
            <w:vAlign w:val="center"/>
          </w:tcPr>
          <w:p>
            <w:pPr>
              <w:jc w:val="center"/>
              <w:rPr>
                <w:bCs/>
                <w:szCs w:val="20"/>
                <w:highlight w:val="none"/>
                <w:lang w:eastAsia="pt-BR"/>
              </w:rPr>
            </w:pPr>
            <w:r>
              <w:rPr>
                <w:bCs/>
                <w:szCs w:val="20"/>
                <w:highlight w:val="none"/>
                <w:lang w:eastAsia="pt-BR"/>
              </w:rPr>
              <w:t>Descrição</w:t>
            </w:r>
          </w:p>
        </w:tc>
        <w:tc>
          <w:tcPr>
            <w:tcW w:w="2095" w:type="dxa"/>
            <w:tcBorders>
              <w:top w:val="single" w:color="auto" w:sz="4" w:space="0"/>
              <w:left w:val="single" w:color="auto" w:sz="4" w:space="0"/>
              <w:bottom w:val="single" w:color="auto" w:sz="4" w:space="0"/>
              <w:right w:val="single" w:color="auto" w:sz="4" w:space="0"/>
            </w:tcBorders>
            <w:shd w:val="clear" w:color="000000" w:fill="C0C0C0"/>
            <w:noWrap/>
            <w:vAlign w:val="center"/>
          </w:tcPr>
          <w:p>
            <w:pPr>
              <w:jc w:val="center"/>
              <w:rPr>
                <w:szCs w:val="20"/>
                <w:highlight w:val="none"/>
                <w:lang w:eastAsia="pt-BR"/>
              </w:rPr>
            </w:pPr>
            <w:r>
              <w:rPr>
                <w:szCs w:val="20"/>
                <w:highlight w:val="none"/>
                <w:lang w:eastAsia="pt-BR"/>
              </w:rPr>
              <w:t>% PV</w:t>
            </w:r>
          </w:p>
        </w:tc>
        <w:tc>
          <w:tcPr>
            <w:tcW w:w="1360" w:type="dxa"/>
            <w:tcBorders>
              <w:top w:val="single" w:color="auto" w:sz="4" w:space="0"/>
              <w:left w:val="single" w:color="auto" w:sz="4" w:space="0"/>
              <w:bottom w:val="single" w:color="auto" w:sz="4" w:space="0"/>
              <w:right w:val="single" w:color="auto" w:sz="4" w:space="0"/>
            </w:tcBorders>
            <w:shd w:val="clear" w:color="000000" w:fill="C0C0C0"/>
            <w:noWrap/>
            <w:vAlign w:val="center"/>
          </w:tcPr>
          <w:p>
            <w:pPr>
              <w:jc w:val="center"/>
              <w:rPr>
                <w:szCs w:val="20"/>
                <w:highlight w:val="none"/>
                <w:lang w:eastAsia="pt-BR"/>
              </w:rPr>
            </w:pPr>
            <w:r>
              <w:rPr>
                <w:szCs w:val="20"/>
                <w:highlight w:val="none"/>
                <w:lang w:eastAsia="pt-BR"/>
              </w:rPr>
              <w:t>% CD</w:t>
            </w:r>
          </w:p>
        </w:tc>
      </w:tr>
      <w:tr>
        <w:tblPrEx>
          <w:tblLayout w:type="fixed"/>
          <w:tblCellMar>
            <w:top w:w="0" w:type="dxa"/>
            <w:left w:w="70" w:type="dxa"/>
            <w:bottom w:w="0" w:type="dxa"/>
            <w:right w:w="70" w:type="dxa"/>
          </w:tblCellMar>
        </w:tblPrEx>
        <w:trPr>
          <w:trHeight w:val="255" w:hRule="atLeast"/>
          <w:jc w:val="center"/>
        </w:trPr>
        <w:tc>
          <w:tcPr>
            <w:tcW w:w="634" w:type="dxa"/>
            <w:tcBorders>
              <w:top w:val="single" w:color="auto" w:sz="4" w:space="0"/>
              <w:left w:val="single" w:color="auto" w:sz="4" w:space="0"/>
              <w:bottom w:val="nil"/>
              <w:right w:val="single" w:color="auto" w:sz="4" w:space="0"/>
            </w:tcBorders>
            <w:shd w:val="clear" w:color="auto" w:fill="auto"/>
            <w:noWrap/>
            <w:vAlign w:val="center"/>
          </w:tcPr>
          <w:p>
            <w:pPr>
              <w:jc w:val="center"/>
              <w:rPr>
                <w:bCs/>
                <w:szCs w:val="20"/>
                <w:highlight w:val="none"/>
                <w:lang w:eastAsia="pt-BR"/>
              </w:rPr>
            </w:pPr>
          </w:p>
        </w:tc>
        <w:tc>
          <w:tcPr>
            <w:tcW w:w="3958" w:type="dxa"/>
            <w:tcBorders>
              <w:top w:val="single" w:color="auto" w:sz="4" w:space="0"/>
              <w:left w:val="nil"/>
              <w:bottom w:val="nil"/>
              <w:right w:val="single" w:color="auto" w:sz="4" w:space="0"/>
            </w:tcBorders>
            <w:shd w:val="clear" w:color="auto" w:fill="auto"/>
            <w:noWrap/>
            <w:vAlign w:val="center"/>
          </w:tcPr>
          <w:p>
            <w:pPr>
              <w:rPr>
                <w:szCs w:val="20"/>
                <w:highlight w:val="none"/>
                <w:lang w:eastAsia="pt-BR"/>
              </w:rPr>
            </w:pPr>
          </w:p>
        </w:tc>
        <w:tc>
          <w:tcPr>
            <w:tcW w:w="2095" w:type="dxa"/>
            <w:tcBorders>
              <w:top w:val="single" w:color="auto" w:sz="4" w:space="0"/>
              <w:left w:val="nil"/>
              <w:bottom w:val="nil"/>
              <w:right w:val="single" w:color="auto" w:sz="4" w:space="0"/>
            </w:tcBorders>
            <w:shd w:val="clear" w:color="auto" w:fill="auto"/>
            <w:noWrap/>
            <w:vAlign w:val="center"/>
          </w:tcPr>
          <w:p>
            <w:pPr>
              <w:jc w:val="center"/>
              <w:rPr>
                <w:bCs/>
                <w:szCs w:val="20"/>
                <w:highlight w:val="none"/>
                <w:lang w:eastAsia="pt-BR"/>
              </w:rPr>
            </w:pPr>
          </w:p>
        </w:tc>
        <w:tc>
          <w:tcPr>
            <w:tcW w:w="1360" w:type="dxa"/>
            <w:tcBorders>
              <w:top w:val="single" w:color="auto" w:sz="4" w:space="0"/>
              <w:left w:val="nil"/>
              <w:bottom w:val="nil"/>
              <w:right w:val="single" w:color="auto" w:sz="4" w:space="0"/>
            </w:tcBorders>
            <w:shd w:val="clear" w:color="auto" w:fill="auto"/>
            <w:noWrap/>
            <w:vAlign w:val="center"/>
          </w:tcPr>
          <w:p>
            <w:pPr>
              <w:jc w:val="center"/>
              <w:rPr>
                <w:bCs/>
                <w:szCs w:val="20"/>
                <w:highlight w:val="none"/>
                <w:lang w:eastAsia="pt-BR"/>
              </w:rPr>
            </w:pP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bCs/>
                <w:szCs w:val="20"/>
                <w:highlight w:val="none"/>
                <w:lang w:eastAsia="pt-BR"/>
              </w:rPr>
            </w:pPr>
            <w:r>
              <w:rPr>
                <w:bCs/>
                <w:szCs w:val="20"/>
                <w:highlight w:val="none"/>
                <w:lang w:eastAsia="pt-BR"/>
              </w:rPr>
              <w:t>1</w:t>
            </w:r>
          </w:p>
        </w:tc>
        <w:tc>
          <w:tcPr>
            <w:tcW w:w="3958" w:type="dxa"/>
            <w:tcBorders>
              <w:top w:val="nil"/>
              <w:left w:val="nil"/>
              <w:bottom w:val="nil"/>
              <w:right w:val="single" w:color="auto" w:sz="4" w:space="0"/>
            </w:tcBorders>
            <w:shd w:val="clear" w:color="auto" w:fill="auto"/>
            <w:noWrap/>
            <w:vAlign w:val="center"/>
          </w:tcPr>
          <w:p>
            <w:pPr>
              <w:rPr>
                <w:bCs/>
                <w:szCs w:val="20"/>
                <w:highlight w:val="none"/>
                <w:lang w:eastAsia="pt-BR"/>
              </w:rPr>
            </w:pPr>
            <w:r>
              <w:rPr>
                <w:bCs/>
                <w:szCs w:val="20"/>
                <w:highlight w:val="none"/>
                <w:lang w:eastAsia="pt-BR"/>
              </w:rPr>
              <w:t>ADMINISTRAÇÃO CENTRAL (AC)</w:t>
            </w:r>
          </w:p>
        </w:tc>
        <w:tc>
          <w:tcPr>
            <w:tcW w:w="2095" w:type="dxa"/>
            <w:tcBorders>
              <w:top w:val="nil"/>
              <w:left w:val="nil"/>
              <w:bottom w:val="nil"/>
              <w:right w:val="single" w:color="auto" w:sz="4" w:space="0"/>
            </w:tcBorders>
            <w:shd w:val="clear" w:color="auto" w:fill="auto"/>
            <w:noWrap/>
            <w:vAlign w:val="center"/>
          </w:tcPr>
          <w:p>
            <w:pPr>
              <w:jc w:val="center"/>
              <w:rPr>
                <w:bCs/>
                <w:szCs w:val="20"/>
                <w:highlight w:val="none"/>
                <w:lang w:eastAsia="pt-BR"/>
              </w:rPr>
            </w:pPr>
          </w:p>
        </w:tc>
        <w:tc>
          <w:tcPr>
            <w:tcW w:w="1360" w:type="dxa"/>
            <w:tcBorders>
              <w:top w:val="nil"/>
              <w:left w:val="nil"/>
              <w:bottom w:val="nil"/>
              <w:right w:val="single" w:color="auto" w:sz="4" w:space="0"/>
            </w:tcBorders>
            <w:shd w:val="clear" w:color="auto" w:fill="auto"/>
            <w:noWrap/>
            <w:vAlign w:val="center"/>
          </w:tcPr>
          <w:p>
            <w:pPr>
              <w:jc w:val="center"/>
              <w:rPr>
                <w:bCs/>
                <w:szCs w:val="20"/>
                <w:highlight w:val="none"/>
                <w:lang w:eastAsia="pt-BR"/>
              </w:rPr>
            </w:pPr>
            <w:r>
              <w:rPr>
                <w:bCs/>
                <w:szCs w:val="20"/>
                <w:highlight w:val="none"/>
                <w:lang w:val="en-US" w:eastAsia="pt-BR"/>
              </w:rPr>
              <w:t>4,93</w:t>
            </w:r>
            <w:r>
              <w:rPr>
                <w:bCs/>
                <w:szCs w:val="20"/>
                <w:highlight w:val="none"/>
                <w:lang w:eastAsia="pt-BR"/>
              </w:rPr>
              <w:t>%</w:t>
            </w: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bCs/>
                <w:szCs w:val="20"/>
                <w:highlight w:val="none"/>
                <w:lang w:eastAsia="pt-BR"/>
              </w:rPr>
            </w:pPr>
            <w:r>
              <w:rPr>
                <w:bCs/>
                <w:szCs w:val="20"/>
                <w:highlight w:val="none"/>
                <w:lang w:eastAsia="pt-BR"/>
              </w:rPr>
              <w:t>2</w:t>
            </w:r>
          </w:p>
        </w:tc>
        <w:tc>
          <w:tcPr>
            <w:tcW w:w="3958" w:type="dxa"/>
            <w:tcBorders>
              <w:top w:val="nil"/>
              <w:left w:val="nil"/>
              <w:bottom w:val="nil"/>
              <w:right w:val="single" w:color="auto" w:sz="4" w:space="0"/>
            </w:tcBorders>
            <w:shd w:val="clear" w:color="auto" w:fill="auto"/>
            <w:noWrap/>
            <w:vAlign w:val="center"/>
          </w:tcPr>
          <w:p>
            <w:pPr>
              <w:rPr>
                <w:bCs/>
                <w:szCs w:val="20"/>
                <w:highlight w:val="none"/>
                <w:lang w:eastAsia="pt-BR"/>
              </w:rPr>
            </w:pPr>
            <w:r>
              <w:rPr>
                <w:bCs/>
                <w:szCs w:val="20"/>
                <w:highlight w:val="none"/>
                <w:lang w:eastAsia="pt-BR"/>
              </w:rPr>
              <w:t>IMPOSTOS E TAXAS (I)</w:t>
            </w:r>
          </w:p>
        </w:tc>
        <w:tc>
          <w:tcPr>
            <w:tcW w:w="2095" w:type="dxa"/>
            <w:tcBorders>
              <w:top w:val="nil"/>
              <w:left w:val="nil"/>
              <w:bottom w:val="nil"/>
              <w:right w:val="single" w:color="auto" w:sz="4" w:space="0"/>
            </w:tcBorders>
            <w:shd w:val="clear" w:color="auto" w:fill="auto"/>
            <w:noWrap/>
            <w:vAlign w:val="center"/>
          </w:tcPr>
          <w:p>
            <w:pPr>
              <w:jc w:val="center"/>
              <w:rPr>
                <w:bCs/>
                <w:szCs w:val="20"/>
                <w:highlight w:val="none"/>
                <w:lang w:eastAsia="pt-BR"/>
              </w:rPr>
            </w:pPr>
            <w:r>
              <w:rPr>
                <w:bCs/>
                <w:szCs w:val="20"/>
                <w:highlight w:val="none"/>
                <w:lang w:val="en-US" w:eastAsia="pt-BR"/>
              </w:rPr>
              <w:t>8</w:t>
            </w:r>
            <w:r>
              <w:rPr>
                <w:bCs/>
                <w:szCs w:val="20"/>
                <w:highlight w:val="none"/>
                <w:lang w:eastAsia="pt-BR"/>
              </w:rPr>
              <w:t>,65%</w:t>
            </w:r>
          </w:p>
        </w:tc>
        <w:tc>
          <w:tcPr>
            <w:tcW w:w="1360" w:type="dxa"/>
            <w:tcBorders>
              <w:top w:val="nil"/>
              <w:left w:val="nil"/>
              <w:bottom w:val="nil"/>
              <w:right w:val="single" w:color="auto" w:sz="4" w:space="0"/>
            </w:tcBorders>
            <w:shd w:val="clear" w:color="auto" w:fill="auto"/>
            <w:noWrap/>
            <w:vAlign w:val="center"/>
          </w:tcPr>
          <w:p>
            <w:pPr>
              <w:jc w:val="center"/>
              <w:rPr>
                <w:bCs/>
                <w:szCs w:val="20"/>
                <w:highlight w:val="none"/>
                <w:lang w:eastAsia="pt-BR"/>
              </w:rPr>
            </w:pP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r>
              <w:rPr>
                <w:szCs w:val="20"/>
                <w:highlight w:val="none"/>
                <w:lang w:eastAsia="pt-BR"/>
              </w:rPr>
              <w:t>2.1</w:t>
            </w: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r>
              <w:rPr>
                <w:szCs w:val="20"/>
                <w:highlight w:val="none"/>
                <w:lang w:eastAsia="pt-BR"/>
              </w:rPr>
              <w:t>ISS</w:t>
            </w: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r>
              <w:rPr>
                <w:szCs w:val="20"/>
                <w:highlight w:val="none"/>
                <w:lang w:eastAsia="pt-BR"/>
              </w:rPr>
              <w:t>5,00%</w:t>
            </w:r>
          </w:p>
        </w:tc>
        <w:tc>
          <w:tcPr>
            <w:tcW w:w="1360"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r>
              <w:rPr>
                <w:szCs w:val="20"/>
                <w:highlight w:val="none"/>
                <w:lang w:eastAsia="pt-BR"/>
              </w:rPr>
              <w:t>2.1</w:t>
            </w: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r>
              <w:rPr>
                <w:szCs w:val="20"/>
                <w:highlight w:val="none"/>
                <w:lang w:eastAsia="pt-BR"/>
              </w:rPr>
              <w:t>PIS</w:t>
            </w: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r>
              <w:rPr>
                <w:szCs w:val="20"/>
                <w:highlight w:val="none"/>
                <w:lang w:eastAsia="pt-BR"/>
              </w:rPr>
              <w:t>0,65%</w:t>
            </w:r>
          </w:p>
        </w:tc>
        <w:tc>
          <w:tcPr>
            <w:tcW w:w="1360"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r>
              <w:rPr>
                <w:szCs w:val="20"/>
                <w:highlight w:val="none"/>
                <w:lang w:eastAsia="pt-BR"/>
              </w:rPr>
              <w:t>2.3</w:t>
            </w: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r>
              <w:rPr>
                <w:szCs w:val="20"/>
                <w:highlight w:val="none"/>
                <w:lang w:eastAsia="pt-BR"/>
              </w:rPr>
              <w:t>Cofins</w:t>
            </w: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r>
              <w:rPr>
                <w:szCs w:val="20"/>
                <w:highlight w:val="none"/>
                <w:lang w:eastAsia="pt-BR"/>
              </w:rPr>
              <w:t>3,00%</w:t>
            </w:r>
          </w:p>
        </w:tc>
        <w:tc>
          <w:tcPr>
            <w:tcW w:w="1360"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r>
      <w:tr>
        <w:tblPrEx>
          <w:tblLayout w:type="fixed"/>
          <w:tblCellMar>
            <w:top w:w="0" w:type="dxa"/>
            <w:left w:w="70" w:type="dxa"/>
            <w:bottom w:w="0" w:type="dxa"/>
            <w:right w:w="70" w:type="dxa"/>
          </w:tblCellMar>
        </w:tblPrEx>
        <w:trPr>
          <w:trHeight w:val="403"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bCs/>
                <w:szCs w:val="20"/>
                <w:highlight w:val="none"/>
                <w:lang w:eastAsia="pt-BR"/>
              </w:rPr>
            </w:pPr>
            <w:r>
              <w:rPr>
                <w:bCs/>
                <w:szCs w:val="20"/>
                <w:highlight w:val="none"/>
                <w:lang w:eastAsia="pt-BR"/>
              </w:rPr>
              <w:t>3</w:t>
            </w:r>
          </w:p>
        </w:tc>
        <w:tc>
          <w:tcPr>
            <w:tcW w:w="3958" w:type="dxa"/>
            <w:tcBorders>
              <w:top w:val="nil"/>
              <w:left w:val="nil"/>
              <w:bottom w:val="nil"/>
              <w:right w:val="single" w:color="auto" w:sz="4" w:space="0"/>
            </w:tcBorders>
            <w:shd w:val="clear" w:color="auto" w:fill="auto"/>
            <w:vAlign w:val="center"/>
          </w:tcPr>
          <w:p>
            <w:pPr>
              <w:jc w:val="left"/>
              <w:rPr>
                <w:bCs/>
                <w:szCs w:val="20"/>
                <w:highlight w:val="none"/>
                <w:lang w:eastAsia="pt-BR"/>
              </w:rPr>
            </w:pPr>
            <w:r>
              <w:rPr>
                <w:bCs/>
                <w:szCs w:val="20"/>
                <w:highlight w:val="none"/>
                <w:lang w:eastAsia="pt-BR"/>
              </w:rPr>
              <w:t>RISCO, SEGURO E GARANTIAS</w:t>
            </w: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nil"/>
              <w:bottom w:val="nil"/>
              <w:right w:val="single" w:color="auto" w:sz="4" w:space="0"/>
            </w:tcBorders>
            <w:shd w:val="clear" w:color="auto" w:fill="auto"/>
            <w:noWrap/>
            <w:vAlign w:val="center"/>
          </w:tcPr>
          <w:p>
            <w:pPr>
              <w:jc w:val="center"/>
              <w:rPr>
                <w:bCs/>
                <w:szCs w:val="20"/>
                <w:highlight w:val="none"/>
                <w:lang w:eastAsia="pt-BR"/>
              </w:rPr>
            </w:pPr>
            <w:r>
              <w:rPr>
                <w:rFonts w:hint="default"/>
                <w:bCs/>
                <w:szCs w:val="20"/>
                <w:highlight w:val="none"/>
                <w:lang w:val="en-US" w:eastAsia="pt-BR"/>
              </w:rPr>
              <w:t>3,00</w:t>
            </w:r>
            <w:r>
              <w:rPr>
                <w:bCs/>
                <w:szCs w:val="20"/>
                <w:highlight w:val="none"/>
                <w:lang w:eastAsia="pt-BR"/>
              </w:rPr>
              <w:t>%</w:t>
            </w: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r>
              <w:rPr>
                <w:szCs w:val="20"/>
                <w:highlight w:val="none"/>
                <w:lang w:eastAsia="pt-BR"/>
              </w:rPr>
              <w:t>3.1</w:t>
            </w: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r>
              <w:rPr>
                <w:szCs w:val="20"/>
                <w:highlight w:val="none"/>
                <w:lang w:eastAsia="pt-BR"/>
              </w:rPr>
              <w:t>Risco (R)</w:t>
            </w: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nil"/>
              <w:bottom w:val="nil"/>
              <w:right w:val="single" w:color="auto" w:sz="4" w:space="0"/>
            </w:tcBorders>
            <w:shd w:val="clear" w:color="auto" w:fill="auto"/>
            <w:noWrap/>
            <w:vAlign w:val="center"/>
          </w:tcPr>
          <w:p>
            <w:pPr>
              <w:jc w:val="center"/>
              <w:rPr>
                <w:szCs w:val="20"/>
                <w:highlight w:val="none"/>
                <w:lang w:eastAsia="pt-BR"/>
              </w:rPr>
            </w:pPr>
            <w:r>
              <w:rPr>
                <w:szCs w:val="20"/>
                <w:highlight w:val="none"/>
                <w:lang w:eastAsia="pt-BR"/>
              </w:rPr>
              <w:t>1,</w:t>
            </w:r>
            <w:r>
              <w:rPr>
                <w:rFonts w:hint="default"/>
                <w:szCs w:val="20"/>
                <w:highlight w:val="none"/>
                <w:lang w:val="en-US" w:eastAsia="pt-BR"/>
              </w:rPr>
              <w:t>80</w:t>
            </w:r>
            <w:r>
              <w:rPr>
                <w:szCs w:val="20"/>
                <w:highlight w:val="none"/>
                <w:lang w:eastAsia="pt-BR"/>
              </w:rPr>
              <w:t>%</w:t>
            </w: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r>
              <w:rPr>
                <w:szCs w:val="20"/>
                <w:highlight w:val="none"/>
                <w:lang w:eastAsia="pt-BR"/>
              </w:rPr>
              <w:t>3.2</w:t>
            </w: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r>
              <w:rPr>
                <w:szCs w:val="20"/>
                <w:highlight w:val="none"/>
                <w:lang w:eastAsia="pt-BR"/>
              </w:rPr>
              <w:t>Seguro (S)</w:t>
            </w: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nil"/>
              <w:bottom w:val="nil"/>
              <w:right w:val="single" w:color="auto" w:sz="4" w:space="0"/>
            </w:tcBorders>
            <w:shd w:val="clear" w:color="auto" w:fill="auto"/>
            <w:noWrap/>
            <w:vAlign w:val="center"/>
          </w:tcPr>
          <w:p>
            <w:pPr>
              <w:jc w:val="center"/>
              <w:rPr>
                <w:szCs w:val="20"/>
                <w:highlight w:val="none"/>
                <w:lang w:eastAsia="pt-BR"/>
              </w:rPr>
            </w:pPr>
            <w:r>
              <w:rPr>
                <w:szCs w:val="20"/>
                <w:highlight w:val="none"/>
                <w:lang w:eastAsia="pt-BR"/>
              </w:rPr>
              <w:t>0,</w:t>
            </w:r>
            <w:r>
              <w:rPr>
                <w:rFonts w:hint="default"/>
                <w:szCs w:val="20"/>
                <w:highlight w:val="none"/>
                <w:lang w:val="en-US" w:eastAsia="pt-BR"/>
              </w:rPr>
              <w:t>60</w:t>
            </w:r>
            <w:r>
              <w:rPr>
                <w:szCs w:val="20"/>
                <w:highlight w:val="none"/>
                <w:lang w:eastAsia="pt-BR"/>
              </w:rPr>
              <w:t>%</w:t>
            </w: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r>
              <w:rPr>
                <w:szCs w:val="20"/>
                <w:highlight w:val="none"/>
                <w:lang w:eastAsia="pt-BR"/>
              </w:rPr>
              <w:t>3.3</w:t>
            </w: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r>
              <w:rPr>
                <w:szCs w:val="20"/>
                <w:highlight w:val="none"/>
                <w:lang w:eastAsia="pt-BR"/>
              </w:rPr>
              <w:t>Garantias (G)</w:t>
            </w: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nil"/>
              <w:bottom w:val="nil"/>
              <w:right w:val="single" w:color="auto" w:sz="4" w:space="0"/>
            </w:tcBorders>
            <w:shd w:val="clear" w:color="auto" w:fill="auto"/>
            <w:noWrap/>
            <w:vAlign w:val="center"/>
          </w:tcPr>
          <w:p>
            <w:pPr>
              <w:jc w:val="center"/>
              <w:rPr>
                <w:szCs w:val="20"/>
                <w:highlight w:val="none"/>
                <w:lang w:eastAsia="pt-BR"/>
              </w:rPr>
            </w:pPr>
            <w:r>
              <w:rPr>
                <w:szCs w:val="20"/>
                <w:highlight w:val="none"/>
                <w:lang w:eastAsia="pt-BR"/>
              </w:rPr>
              <w:t>0,</w:t>
            </w:r>
            <w:r>
              <w:rPr>
                <w:rFonts w:hint="default"/>
                <w:szCs w:val="20"/>
                <w:highlight w:val="none"/>
                <w:lang w:val="en-US" w:eastAsia="pt-BR"/>
              </w:rPr>
              <w:t>60</w:t>
            </w:r>
            <w:r>
              <w:rPr>
                <w:szCs w:val="20"/>
                <w:highlight w:val="none"/>
                <w:lang w:eastAsia="pt-BR"/>
              </w:rPr>
              <w:t>%</w:t>
            </w: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bCs/>
                <w:szCs w:val="20"/>
                <w:highlight w:val="none"/>
                <w:lang w:eastAsia="pt-BR"/>
              </w:rPr>
            </w:pPr>
            <w:r>
              <w:rPr>
                <w:bCs/>
                <w:szCs w:val="20"/>
                <w:highlight w:val="none"/>
                <w:lang w:eastAsia="pt-BR"/>
              </w:rPr>
              <w:t>4</w:t>
            </w:r>
          </w:p>
        </w:tc>
        <w:tc>
          <w:tcPr>
            <w:tcW w:w="3958" w:type="dxa"/>
            <w:tcBorders>
              <w:top w:val="nil"/>
              <w:left w:val="nil"/>
              <w:bottom w:val="nil"/>
              <w:right w:val="single" w:color="auto" w:sz="4" w:space="0"/>
            </w:tcBorders>
            <w:shd w:val="clear" w:color="auto" w:fill="auto"/>
            <w:noWrap/>
            <w:vAlign w:val="center"/>
          </w:tcPr>
          <w:p>
            <w:pPr>
              <w:rPr>
                <w:bCs/>
                <w:szCs w:val="20"/>
                <w:highlight w:val="none"/>
                <w:lang w:eastAsia="pt-BR"/>
              </w:rPr>
            </w:pPr>
            <w:r>
              <w:rPr>
                <w:bCs/>
                <w:szCs w:val="20"/>
                <w:highlight w:val="none"/>
                <w:lang w:eastAsia="pt-BR"/>
              </w:rPr>
              <w:t>DESPESAS FINANCEIRAS (DF)</w:t>
            </w: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nil"/>
              <w:bottom w:val="nil"/>
              <w:right w:val="single" w:color="auto" w:sz="4" w:space="0"/>
            </w:tcBorders>
            <w:shd w:val="clear" w:color="auto" w:fill="auto"/>
            <w:noWrap/>
            <w:vAlign w:val="center"/>
          </w:tcPr>
          <w:p>
            <w:pPr>
              <w:jc w:val="center"/>
              <w:rPr>
                <w:bCs/>
                <w:szCs w:val="20"/>
                <w:highlight w:val="none"/>
                <w:lang w:eastAsia="pt-BR"/>
              </w:rPr>
            </w:pPr>
            <w:r>
              <w:rPr>
                <w:bCs/>
                <w:szCs w:val="20"/>
                <w:highlight w:val="none"/>
                <w:lang w:eastAsia="pt-BR"/>
              </w:rPr>
              <w:t>0,</w:t>
            </w:r>
            <w:r>
              <w:rPr>
                <w:bCs/>
                <w:szCs w:val="20"/>
                <w:highlight w:val="none"/>
                <w:lang w:val="en-US" w:eastAsia="pt-BR"/>
              </w:rPr>
              <w:t>99</w:t>
            </w:r>
            <w:r>
              <w:rPr>
                <w:bCs/>
                <w:szCs w:val="20"/>
                <w:highlight w:val="none"/>
                <w:lang w:eastAsia="pt-BR"/>
              </w:rPr>
              <w:t>%</w:t>
            </w: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bCs/>
                <w:szCs w:val="20"/>
                <w:highlight w:val="none"/>
                <w:lang w:eastAsia="pt-BR"/>
              </w:rPr>
            </w:pPr>
            <w:r>
              <w:rPr>
                <w:bCs/>
                <w:szCs w:val="20"/>
                <w:highlight w:val="none"/>
                <w:lang w:eastAsia="pt-BR"/>
              </w:rPr>
              <w:t>5</w:t>
            </w:r>
          </w:p>
        </w:tc>
        <w:tc>
          <w:tcPr>
            <w:tcW w:w="3958" w:type="dxa"/>
            <w:tcBorders>
              <w:top w:val="nil"/>
              <w:left w:val="nil"/>
              <w:bottom w:val="nil"/>
              <w:right w:val="single" w:color="auto" w:sz="4" w:space="0"/>
            </w:tcBorders>
            <w:shd w:val="clear" w:color="auto" w:fill="auto"/>
            <w:noWrap/>
            <w:vAlign w:val="center"/>
          </w:tcPr>
          <w:p>
            <w:pPr>
              <w:rPr>
                <w:bCs/>
                <w:szCs w:val="20"/>
                <w:highlight w:val="none"/>
                <w:lang w:eastAsia="pt-BR"/>
              </w:rPr>
            </w:pPr>
            <w:r>
              <w:rPr>
                <w:bCs/>
                <w:szCs w:val="20"/>
                <w:highlight w:val="none"/>
                <w:lang w:eastAsia="pt-BR"/>
              </w:rPr>
              <w:t>LUCRO (L)</w:t>
            </w:r>
          </w:p>
        </w:tc>
        <w:tc>
          <w:tcPr>
            <w:tcW w:w="2095" w:type="dxa"/>
            <w:tcBorders>
              <w:top w:val="nil"/>
              <w:left w:val="nil"/>
              <w:bottom w:val="nil"/>
              <w:right w:val="nil"/>
            </w:tcBorders>
            <w:shd w:val="clear" w:color="auto" w:fill="auto"/>
            <w:noWrap/>
            <w:vAlign w:val="center"/>
          </w:tcPr>
          <w:p>
            <w:pPr>
              <w:jc w:val="center"/>
              <w:rPr>
                <w:bCs/>
                <w:szCs w:val="20"/>
                <w:highlight w:val="none"/>
                <w:lang w:eastAsia="pt-BR"/>
              </w:rPr>
            </w:pPr>
          </w:p>
        </w:tc>
        <w:tc>
          <w:tcPr>
            <w:tcW w:w="1360" w:type="dxa"/>
            <w:tcBorders>
              <w:top w:val="nil"/>
              <w:left w:val="single" w:color="auto" w:sz="4" w:space="0"/>
              <w:bottom w:val="nil"/>
              <w:right w:val="single" w:color="auto" w:sz="4" w:space="0"/>
            </w:tcBorders>
            <w:shd w:val="clear" w:color="auto" w:fill="auto"/>
            <w:noWrap/>
            <w:vAlign w:val="center"/>
          </w:tcPr>
          <w:p>
            <w:pPr>
              <w:jc w:val="center"/>
              <w:rPr>
                <w:bCs/>
                <w:szCs w:val="20"/>
                <w:highlight w:val="none"/>
                <w:lang w:eastAsia="pt-BR"/>
              </w:rPr>
            </w:pPr>
            <w:r>
              <w:rPr>
                <w:bCs/>
                <w:szCs w:val="20"/>
                <w:highlight w:val="none"/>
                <w:lang w:eastAsia="pt-BR"/>
              </w:rPr>
              <w:t>8,0</w:t>
            </w:r>
            <w:r>
              <w:rPr>
                <w:bCs/>
                <w:szCs w:val="20"/>
                <w:highlight w:val="none"/>
                <w:lang w:val="en-US" w:eastAsia="pt-BR"/>
              </w:rPr>
              <w:t>4</w:t>
            </w:r>
            <w:r>
              <w:rPr>
                <w:bCs/>
                <w:szCs w:val="20"/>
                <w:highlight w:val="none"/>
                <w:lang w:eastAsia="pt-BR"/>
              </w:rPr>
              <w:t>%</w:t>
            </w:r>
          </w:p>
        </w:tc>
      </w:tr>
      <w:tr>
        <w:tblPrEx>
          <w:tblLayout w:type="fixed"/>
          <w:tblCellMar>
            <w:top w:w="0" w:type="dxa"/>
            <w:left w:w="70" w:type="dxa"/>
            <w:bottom w:w="0" w:type="dxa"/>
            <w:right w:w="70" w:type="dxa"/>
          </w:tblCellMar>
        </w:tblPrEx>
        <w:trPr>
          <w:trHeight w:val="270" w:hRule="atLeast"/>
          <w:jc w:val="center"/>
        </w:trPr>
        <w:tc>
          <w:tcPr>
            <w:tcW w:w="634" w:type="dxa"/>
            <w:tcBorders>
              <w:top w:val="nil"/>
              <w:left w:val="single" w:color="auto" w:sz="4" w:space="0"/>
              <w:bottom w:val="single" w:color="auto" w:sz="4" w:space="0"/>
              <w:right w:val="single" w:color="auto" w:sz="4" w:space="0"/>
            </w:tcBorders>
            <w:shd w:val="clear" w:color="auto" w:fill="auto"/>
            <w:noWrap/>
            <w:vAlign w:val="center"/>
          </w:tcPr>
          <w:p>
            <w:pPr>
              <w:jc w:val="center"/>
              <w:rPr>
                <w:szCs w:val="20"/>
                <w:highlight w:val="none"/>
                <w:lang w:eastAsia="pt-BR"/>
              </w:rPr>
            </w:pPr>
          </w:p>
        </w:tc>
        <w:tc>
          <w:tcPr>
            <w:tcW w:w="3958" w:type="dxa"/>
            <w:tcBorders>
              <w:top w:val="nil"/>
              <w:left w:val="nil"/>
              <w:bottom w:val="single" w:color="auto" w:sz="4" w:space="0"/>
              <w:right w:val="single" w:color="auto" w:sz="4" w:space="0"/>
            </w:tcBorders>
            <w:shd w:val="clear" w:color="auto" w:fill="auto"/>
            <w:noWrap/>
            <w:vAlign w:val="center"/>
          </w:tcPr>
          <w:p>
            <w:pPr>
              <w:rPr>
                <w:szCs w:val="20"/>
                <w:highlight w:val="none"/>
                <w:lang w:eastAsia="pt-BR"/>
              </w:rPr>
            </w:pPr>
          </w:p>
        </w:tc>
        <w:tc>
          <w:tcPr>
            <w:tcW w:w="2095" w:type="dxa"/>
            <w:tcBorders>
              <w:top w:val="nil"/>
              <w:left w:val="nil"/>
              <w:bottom w:val="single" w:color="auto" w:sz="4" w:space="0"/>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nil"/>
              <w:bottom w:val="single" w:color="auto" w:sz="4" w:space="0"/>
              <w:right w:val="single" w:color="auto" w:sz="4" w:space="0"/>
            </w:tcBorders>
            <w:shd w:val="clear" w:color="auto" w:fill="auto"/>
            <w:noWrap/>
            <w:vAlign w:val="center"/>
          </w:tcPr>
          <w:p>
            <w:pPr>
              <w:jc w:val="center"/>
              <w:rPr>
                <w:szCs w:val="20"/>
                <w:highlight w:val="none"/>
                <w:lang w:eastAsia="pt-BR"/>
              </w:rPr>
            </w:pPr>
          </w:p>
        </w:tc>
      </w:tr>
      <w:tr>
        <w:tblPrEx>
          <w:tblLayout w:type="fixed"/>
          <w:tblCellMar>
            <w:top w:w="0" w:type="dxa"/>
            <w:left w:w="70" w:type="dxa"/>
            <w:bottom w:w="0" w:type="dxa"/>
            <w:right w:w="70" w:type="dxa"/>
          </w:tblCellMar>
        </w:tblPrEx>
        <w:trPr>
          <w:trHeight w:val="270" w:hRule="atLeast"/>
          <w:jc w:val="center"/>
        </w:trPr>
        <w:tc>
          <w:tcPr>
            <w:tcW w:w="6687"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pPr>
              <w:jc w:val="center"/>
              <w:rPr>
                <w:bCs/>
                <w:szCs w:val="20"/>
                <w:highlight w:val="none"/>
                <w:lang w:eastAsia="pt-BR"/>
              </w:rPr>
            </w:pPr>
            <w:r>
              <w:rPr>
                <w:bCs/>
                <w:szCs w:val="20"/>
                <w:highlight w:val="none"/>
                <w:lang w:eastAsia="pt-BR"/>
              </w:rPr>
              <w:t>BDI* (%)=</w:t>
            </w:r>
          </w:p>
        </w:tc>
        <w:tc>
          <w:tcPr>
            <w:tcW w:w="1360" w:type="dxa"/>
            <w:tcBorders>
              <w:top w:val="single" w:color="auto" w:sz="4" w:space="0"/>
              <w:left w:val="single" w:color="auto" w:sz="4" w:space="0"/>
              <w:bottom w:val="single" w:color="auto" w:sz="4" w:space="0"/>
              <w:right w:val="single" w:color="auto" w:sz="4" w:space="0"/>
            </w:tcBorders>
            <w:shd w:val="clear" w:color="auto" w:fill="auto"/>
            <w:noWrap/>
            <w:vAlign w:val="center"/>
          </w:tcPr>
          <w:p>
            <w:pPr>
              <w:jc w:val="center"/>
              <w:rPr>
                <w:rFonts w:hint="default"/>
                <w:bCs/>
                <w:szCs w:val="20"/>
                <w:highlight w:val="none"/>
                <w:lang w:val="en-US" w:eastAsia="pt-BR"/>
              </w:rPr>
            </w:pPr>
            <w:r>
              <w:rPr>
                <w:bCs/>
                <w:szCs w:val="20"/>
                <w:highlight w:val="none"/>
                <w:lang w:eastAsia="pt-BR"/>
              </w:rPr>
              <w:t>2</w:t>
            </w:r>
            <w:r>
              <w:rPr>
                <w:rFonts w:hint="default"/>
                <w:bCs/>
                <w:szCs w:val="20"/>
                <w:highlight w:val="none"/>
                <w:lang w:val="en-US" w:eastAsia="pt-BR"/>
              </w:rPr>
              <w:t>8</w:t>
            </w:r>
            <w:r>
              <w:rPr>
                <w:bCs/>
                <w:szCs w:val="20"/>
                <w:highlight w:val="none"/>
                <w:lang w:eastAsia="pt-BR"/>
              </w:rPr>
              <w:t>,</w:t>
            </w:r>
            <w:r>
              <w:rPr>
                <w:rFonts w:hint="default"/>
                <w:bCs/>
                <w:szCs w:val="20"/>
                <w:highlight w:val="none"/>
                <w:lang w:val="en-US" w:eastAsia="pt-BR"/>
              </w:rPr>
              <w:t>90</w:t>
            </w:r>
          </w:p>
        </w:tc>
      </w:tr>
    </w:tbl>
    <w:p>
      <w:pPr>
        <w:rPr>
          <w:szCs w:val="20"/>
          <w:highlight w:val="none"/>
        </w:rPr>
      </w:pPr>
    </w:p>
    <w:p>
      <w:pPr>
        <w:ind w:left="284"/>
        <w:rPr>
          <w:szCs w:val="20"/>
          <w:highlight w:val="none"/>
        </w:rPr>
      </w:pPr>
      <w:r>
        <w:rPr>
          <w:szCs w:val="20"/>
          <w:highlight w:val="none"/>
        </w:rPr>
        <w:t>Acórdão TCU nº 2369/2011 e nº 2622/13</w:t>
      </w:r>
    </w:p>
    <w:p>
      <w:pPr>
        <w:ind w:left="284"/>
        <w:rPr>
          <w:szCs w:val="20"/>
          <w:highlight w:val="none"/>
        </w:rPr>
      </w:pPr>
      <w:r>
        <w:rPr>
          <w:szCs w:val="20"/>
          <w:highlight w:val="none"/>
        </w:rPr>
        <w:t>BDI (%) = (((1+(AC+R+S+G))x(1+DF)x(1+L)/(1-I))-1)*100</w:t>
      </w:r>
    </w:p>
    <w:p>
      <w:pPr>
        <w:ind w:left="284"/>
        <w:rPr>
          <w:szCs w:val="20"/>
          <w:highlight w:val="none"/>
        </w:rPr>
      </w:pPr>
      <w:r>
        <w:rPr>
          <w:szCs w:val="20"/>
          <w:highlight w:val="none"/>
        </w:rPr>
        <w:t>ISS municipal: 100% de 5,00% (maior valor do ISS dos municípios)</w:t>
      </w:r>
    </w:p>
    <w:p>
      <w:pPr>
        <w:ind w:left="284"/>
        <w:rPr>
          <w:szCs w:val="20"/>
          <w:highlight w:val="none"/>
        </w:rPr>
      </w:pPr>
      <w:r>
        <w:rPr>
          <w:szCs w:val="20"/>
          <w:highlight w:val="none"/>
        </w:rPr>
        <w:t>Obs: Utilizar ISS real do município: Lei complementar nº 029/2004</w:t>
      </w:r>
    </w:p>
    <w:p>
      <w:pPr>
        <w:rPr>
          <w:szCs w:val="20"/>
          <w:highlight w:val="none"/>
        </w:rPr>
      </w:pPr>
    </w:p>
    <w:p>
      <w:pPr>
        <w:rPr>
          <w:szCs w:val="20"/>
          <w:highlight w:val="none"/>
        </w:rPr>
      </w:pPr>
      <w:r>
        <w:rPr>
          <w:szCs w:val="20"/>
          <w:highlight w:val="none"/>
        </w:rPr>
        <w:br w:type="page"/>
      </w:r>
    </w:p>
    <w:p>
      <w:pPr>
        <w:jc w:val="center"/>
        <w:rPr>
          <w:b/>
          <w:szCs w:val="20"/>
          <w:highlight w:val="none"/>
          <w:lang w:eastAsia="pt-BR"/>
        </w:rPr>
      </w:pPr>
      <w:r>
        <w:rPr>
          <w:b/>
          <w:szCs w:val="20"/>
          <w:highlight w:val="none"/>
          <w:lang w:eastAsia="pt-BR"/>
        </w:rPr>
        <w:t>Detalhamento do BDI – Fornecimento – Sem Desoneração</w:t>
      </w:r>
    </w:p>
    <w:p>
      <w:pPr>
        <w:rPr>
          <w:szCs w:val="20"/>
          <w:highlight w:val="none"/>
          <w:lang w:eastAsia="pt-BR"/>
        </w:rPr>
      </w:pPr>
    </w:p>
    <w:p>
      <w:pPr>
        <w:jc w:val="center"/>
        <w:rPr>
          <w:b/>
          <w:szCs w:val="20"/>
          <w:highlight w:val="none"/>
          <w:lang w:eastAsia="pt-BR"/>
        </w:rPr>
      </w:pPr>
      <w:r>
        <w:rPr>
          <w:b/>
          <w:szCs w:val="20"/>
          <w:highlight w:val="none"/>
          <w:lang w:eastAsia="pt-BR"/>
        </w:rPr>
        <w:t>QUADRO DBDI-F</w:t>
      </w:r>
    </w:p>
    <w:p>
      <w:pPr>
        <w:rPr>
          <w:szCs w:val="20"/>
          <w:highlight w:val="none"/>
          <w:lang w:eastAsia="pt-BR"/>
        </w:rPr>
      </w:pPr>
    </w:p>
    <w:tbl>
      <w:tblPr>
        <w:tblStyle w:val="30"/>
        <w:tblW w:w="8526" w:type="dxa"/>
        <w:jc w:val="center"/>
        <w:tblInd w:w="0" w:type="dxa"/>
        <w:tblLayout w:type="fixed"/>
        <w:tblCellMar>
          <w:top w:w="0" w:type="dxa"/>
          <w:left w:w="70" w:type="dxa"/>
          <w:bottom w:w="0" w:type="dxa"/>
          <w:right w:w="70" w:type="dxa"/>
        </w:tblCellMar>
      </w:tblPr>
      <w:tblGrid>
        <w:gridCol w:w="5873"/>
        <w:gridCol w:w="1536"/>
        <w:gridCol w:w="1117"/>
      </w:tblGrid>
      <w:tr>
        <w:tblPrEx>
          <w:tblLayout w:type="fixed"/>
          <w:tblCellMar>
            <w:top w:w="0" w:type="dxa"/>
            <w:left w:w="70" w:type="dxa"/>
            <w:bottom w:w="0" w:type="dxa"/>
            <w:right w:w="70" w:type="dxa"/>
          </w:tblCellMar>
        </w:tblPrEx>
        <w:trPr>
          <w:trHeight w:val="315" w:hRule="atLeast"/>
          <w:jc w:val="center"/>
        </w:trPr>
        <w:tc>
          <w:tcPr>
            <w:tcW w:w="8526" w:type="dxa"/>
            <w:gridSpan w:val="3"/>
            <w:tcBorders>
              <w:top w:val="single" w:color="auto" w:sz="4" w:space="0"/>
              <w:left w:val="single" w:color="auto" w:sz="4" w:space="0"/>
              <w:bottom w:val="nil"/>
              <w:right w:val="single" w:color="auto" w:sz="4" w:space="0"/>
            </w:tcBorders>
            <w:shd w:val="clear" w:color="000000" w:fill="FFFFFF"/>
            <w:noWrap/>
            <w:vAlign w:val="center"/>
          </w:tcPr>
          <w:p>
            <w:pPr>
              <w:rPr>
                <w:szCs w:val="20"/>
                <w:highlight w:val="none"/>
                <w:lang w:eastAsia="pt-BR"/>
              </w:rPr>
            </w:pPr>
            <w:r>
              <w:rPr>
                <w:szCs w:val="20"/>
                <w:highlight w:val="none"/>
                <w:lang w:eastAsia="pt-BR"/>
              </w:rPr>
              <w:t>NOME DA CONCORRENTE:</w:t>
            </w:r>
          </w:p>
        </w:tc>
      </w:tr>
      <w:tr>
        <w:tblPrEx>
          <w:tblLayout w:type="fixed"/>
          <w:tblCellMar>
            <w:top w:w="0" w:type="dxa"/>
            <w:left w:w="70" w:type="dxa"/>
            <w:bottom w:w="0" w:type="dxa"/>
            <w:right w:w="70" w:type="dxa"/>
          </w:tblCellMar>
        </w:tblPrEx>
        <w:trPr>
          <w:trHeight w:val="300" w:hRule="atLeast"/>
          <w:jc w:val="center"/>
        </w:trPr>
        <w:tc>
          <w:tcPr>
            <w:tcW w:w="5873" w:type="dxa"/>
            <w:vMerge w:val="restart"/>
            <w:tcBorders>
              <w:top w:val="single" w:color="auto" w:sz="4" w:space="0"/>
              <w:left w:val="single" w:color="auto" w:sz="4" w:space="0"/>
              <w:right w:val="single" w:color="auto" w:sz="4" w:space="0"/>
            </w:tcBorders>
            <w:shd w:val="clear" w:color="000000" w:fill="FFFFFF"/>
            <w:noWrap/>
            <w:vAlign w:val="center"/>
          </w:tcPr>
          <w:p>
            <w:pPr>
              <w:rPr>
                <w:szCs w:val="20"/>
                <w:highlight w:val="none"/>
                <w:lang w:eastAsia="pt-BR"/>
              </w:rPr>
            </w:pPr>
            <w:r>
              <w:rPr>
                <w:szCs w:val="20"/>
                <w:highlight w:val="none"/>
                <w:lang w:eastAsia="pt-BR"/>
              </w:rPr>
              <w:t>OBJETO:</w:t>
            </w:r>
          </w:p>
          <w:p>
            <w:pPr>
              <w:rPr>
                <w:szCs w:val="20"/>
                <w:highlight w:val="none"/>
                <w:lang w:eastAsia="pt-BR"/>
              </w:rPr>
            </w:pPr>
          </w:p>
        </w:tc>
        <w:tc>
          <w:tcPr>
            <w:tcW w:w="1536" w:type="dxa"/>
            <w:tcBorders>
              <w:top w:val="single" w:color="auto" w:sz="4" w:space="0"/>
              <w:left w:val="single" w:color="auto" w:sz="4" w:space="0"/>
              <w:bottom w:val="nil"/>
              <w:right w:val="single" w:color="auto" w:sz="4" w:space="0"/>
            </w:tcBorders>
            <w:shd w:val="clear" w:color="000000" w:fill="FFFFFF"/>
            <w:noWrap/>
            <w:vAlign w:val="center"/>
          </w:tcPr>
          <w:p>
            <w:pPr>
              <w:rPr>
                <w:szCs w:val="20"/>
                <w:highlight w:val="none"/>
                <w:lang w:eastAsia="pt-BR"/>
              </w:rPr>
            </w:pPr>
            <w:r>
              <w:rPr>
                <w:szCs w:val="20"/>
                <w:highlight w:val="none"/>
                <w:lang w:eastAsia="pt-BR"/>
              </w:rPr>
              <w:t>EDITAL</w:t>
            </w:r>
          </w:p>
        </w:tc>
        <w:tc>
          <w:tcPr>
            <w:tcW w:w="1117" w:type="dxa"/>
            <w:tcBorders>
              <w:top w:val="single" w:color="auto" w:sz="4" w:space="0"/>
              <w:left w:val="nil"/>
              <w:bottom w:val="nil"/>
              <w:right w:val="single" w:color="auto" w:sz="4" w:space="0"/>
            </w:tcBorders>
            <w:shd w:val="clear" w:color="000000" w:fill="FFFFFF"/>
            <w:noWrap/>
            <w:vAlign w:val="center"/>
          </w:tcPr>
          <w:p>
            <w:pPr>
              <w:rPr>
                <w:szCs w:val="20"/>
                <w:highlight w:val="none"/>
                <w:lang w:eastAsia="pt-BR"/>
              </w:rPr>
            </w:pPr>
            <w:r>
              <w:rPr>
                <w:szCs w:val="20"/>
                <w:highlight w:val="none"/>
                <w:lang w:eastAsia="pt-BR"/>
              </w:rPr>
              <w:t>FOLHA</w:t>
            </w:r>
          </w:p>
        </w:tc>
      </w:tr>
      <w:tr>
        <w:tblPrEx>
          <w:tblLayout w:type="fixed"/>
          <w:tblCellMar>
            <w:top w:w="0" w:type="dxa"/>
            <w:left w:w="70" w:type="dxa"/>
            <w:bottom w:w="0" w:type="dxa"/>
            <w:right w:w="70" w:type="dxa"/>
          </w:tblCellMar>
        </w:tblPrEx>
        <w:trPr>
          <w:trHeight w:val="315" w:hRule="atLeast"/>
          <w:jc w:val="center"/>
        </w:trPr>
        <w:tc>
          <w:tcPr>
            <w:tcW w:w="5873" w:type="dxa"/>
            <w:vMerge w:val="continue"/>
            <w:tcBorders>
              <w:left w:val="single" w:color="auto" w:sz="4" w:space="0"/>
              <w:bottom w:val="single" w:color="auto" w:sz="4" w:space="0"/>
              <w:right w:val="single" w:color="auto" w:sz="4" w:space="0"/>
            </w:tcBorders>
            <w:shd w:val="clear" w:color="000000" w:fill="FFFFFF"/>
            <w:noWrap/>
            <w:vAlign w:val="center"/>
          </w:tcPr>
          <w:p>
            <w:pPr>
              <w:rPr>
                <w:szCs w:val="20"/>
                <w:highlight w:val="none"/>
                <w:lang w:eastAsia="pt-BR"/>
              </w:rPr>
            </w:pPr>
          </w:p>
        </w:tc>
        <w:tc>
          <w:tcPr>
            <w:tcW w:w="1536" w:type="dxa"/>
            <w:tcBorders>
              <w:top w:val="nil"/>
              <w:left w:val="single" w:color="auto" w:sz="4" w:space="0"/>
              <w:bottom w:val="single" w:color="auto" w:sz="4" w:space="0"/>
              <w:right w:val="single" w:color="auto" w:sz="4" w:space="0"/>
            </w:tcBorders>
            <w:shd w:val="clear" w:color="000000" w:fill="FFFFFF"/>
            <w:noWrap/>
            <w:vAlign w:val="center"/>
          </w:tcPr>
          <w:p>
            <w:pPr>
              <w:rPr>
                <w:szCs w:val="20"/>
                <w:highlight w:val="none"/>
                <w:lang w:eastAsia="pt-BR"/>
              </w:rPr>
            </w:pPr>
            <w:r>
              <w:rPr>
                <w:szCs w:val="20"/>
                <w:highlight w:val="none"/>
                <w:lang w:eastAsia="pt-BR"/>
              </w:rPr>
              <w:t>______/_____</w:t>
            </w:r>
          </w:p>
        </w:tc>
        <w:tc>
          <w:tcPr>
            <w:tcW w:w="1117" w:type="dxa"/>
            <w:tcBorders>
              <w:top w:val="nil"/>
              <w:left w:val="nil"/>
              <w:bottom w:val="single" w:color="auto" w:sz="4" w:space="0"/>
              <w:right w:val="single" w:color="auto" w:sz="4" w:space="0"/>
            </w:tcBorders>
            <w:shd w:val="clear" w:color="000000" w:fill="FFFFFF"/>
            <w:noWrap/>
            <w:vAlign w:val="center"/>
          </w:tcPr>
          <w:p>
            <w:pPr>
              <w:rPr>
                <w:szCs w:val="20"/>
                <w:highlight w:val="none"/>
                <w:lang w:eastAsia="pt-BR"/>
              </w:rPr>
            </w:pPr>
            <w:r>
              <w:rPr>
                <w:szCs w:val="20"/>
                <w:highlight w:val="none"/>
                <w:lang w:eastAsia="pt-BR"/>
              </w:rPr>
              <w:t>____/____</w:t>
            </w:r>
          </w:p>
        </w:tc>
      </w:tr>
    </w:tbl>
    <w:p>
      <w:pPr>
        <w:rPr>
          <w:szCs w:val="20"/>
          <w:highlight w:val="none"/>
        </w:rPr>
      </w:pPr>
    </w:p>
    <w:tbl>
      <w:tblPr>
        <w:tblStyle w:val="30"/>
        <w:tblW w:w="8047" w:type="dxa"/>
        <w:jc w:val="center"/>
        <w:tblInd w:w="0" w:type="dxa"/>
        <w:tblLayout w:type="fixed"/>
        <w:tblCellMar>
          <w:top w:w="0" w:type="dxa"/>
          <w:left w:w="70" w:type="dxa"/>
          <w:bottom w:w="0" w:type="dxa"/>
          <w:right w:w="70" w:type="dxa"/>
        </w:tblCellMar>
      </w:tblPr>
      <w:tblGrid>
        <w:gridCol w:w="634"/>
        <w:gridCol w:w="3958"/>
        <w:gridCol w:w="2095"/>
        <w:gridCol w:w="1360"/>
      </w:tblGrid>
      <w:tr>
        <w:tblPrEx>
          <w:tblLayout w:type="fixed"/>
          <w:tblCellMar>
            <w:top w:w="0" w:type="dxa"/>
            <w:left w:w="70" w:type="dxa"/>
            <w:bottom w:w="0" w:type="dxa"/>
            <w:right w:w="70" w:type="dxa"/>
          </w:tblCellMar>
        </w:tblPrEx>
        <w:trPr>
          <w:trHeight w:val="255" w:hRule="atLeast"/>
          <w:jc w:val="center"/>
        </w:trPr>
        <w:tc>
          <w:tcPr>
            <w:tcW w:w="634" w:type="dxa"/>
            <w:tcBorders>
              <w:top w:val="single" w:color="auto" w:sz="4" w:space="0"/>
              <w:left w:val="single" w:color="auto" w:sz="4" w:space="0"/>
              <w:bottom w:val="single" w:color="auto" w:sz="4" w:space="0"/>
              <w:right w:val="single" w:color="auto" w:sz="4" w:space="0"/>
            </w:tcBorders>
            <w:shd w:val="clear" w:color="000000" w:fill="C0C0C0"/>
            <w:noWrap/>
            <w:vAlign w:val="center"/>
          </w:tcPr>
          <w:p>
            <w:pPr>
              <w:jc w:val="center"/>
              <w:rPr>
                <w:bCs/>
                <w:szCs w:val="20"/>
                <w:highlight w:val="none"/>
                <w:lang w:eastAsia="pt-BR"/>
              </w:rPr>
            </w:pPr>
            <w:r>
              <w:rPr>
                <w:bCs/>
                <w:szCs w:val="20"/>
                <w:highlight w:val="none"/>
                <w:lang w:eastAsia="pt-BR"/>
              </w:rPr>
              <w:t>Item</w:t>
            </w:r>
          </w:p>
        </w:tc>
        <w:tc>
          <w:tcPr>
            <w:tcW w:w="3958" w:type="dxa"/>
            <w:tcBorders>
              <w:top w:val="single" w:color="auto" w:sz="4" w:space="0"/>
              <w:left w:val="single" w:color="auto" w:sz="4" w:space="0"/>
              <w:bottom w:val="single" w:color="auto" w:sz="4" w:space="0"/>
              <w:right w:val="single" w:color="auto" w:sz="4" w:space="0"/>
            </w:tcBorders>
            <w:shd w:val="clear" w:color="000000" w:fill="C0C0C0"/>
            <w:noWrap/>
            <w:vAlign w:val="center"/>
          </w:tcPr>
          <w:p>
            <w:pPr>
              <w:jc w:val="center"/>
              <w:rPr>
                <w:bCs/>
                <w:szCs w:val="20"/>
                <w:highlight w:val="none"/>
                <w:lang w:eastAsia="pt-BR"/>
              </w:rPr>
            </w:pPr>
            <w:r>
              <w:rPr>
                <w:bCs/>
                <w:szCs w:val="20"/>
                <w:highlight w:val="none"/>
                <w:lang w:eastAsia="pt-BR"/>
              </w:rPr>
              <w:t>Descrição</w:t>
            </w:r>
          </w:p>
        </w:tc>
        <w:tc>
          <w:tcPr>
            <w:tcW w:w="2095" w:type="dxa"/>
            <w:tcBorders>
              <w:top w:val="single" w:color="auto" w:sz="4" w:space="0"/>
              <w:left w:val="single" w:color="auto" w:sz="4" w:space="0"/>
              <w:bottom w:val="single" w:color="auto" w:sz="4" w:space="0"/>
              <w:right w:val="single" w:color="auto" w:sz="4" w:space="0"/>
            </w:tcBorders>
            <w:shd w:val="clear" w:color="000000" w:fill="C0C0C0"/>
            <w:noWrap/>
            <w:vAlign w:val="center"/>
          </w:tcPr>
          <w:p>
            <w:pPr>
              <w:jc w:val="center"/>
              <w:rPr>
                <w:szCs w:val="20"/>
                <w:highlight w:val="none"/>
                <w:lang w:eastAsia="pt-BR"/>
              </w:rPr>
            </w:pPr>
            <w:r>
              <w:rPr>
                <w:szCs w:val="20"/>
                <w:highlight w:val="none"/>
                <w:lang w:eastAsia="pt-BR"/>
              </w:rPr>
              <w:t>% PV</w:t>
            </w:r>
          </w:p>
        </w:tc>
        <w:tc>
          <w:tcPr>
            <w:tcW w:w="1360" w:type="dxa"/>
            <w:tcBorders>
              <w:top w:val="single" w:color="auto" w:sz="4" w:space="0"/>
              <w:left w:val="single" w:color="auto" w:sz="4" w:space="0"/>
              <w:bottom w:val="single" w:color="auto" w:sz="4" w:space="0"/>
              <w:right w:val="single" w:color="auto" w:sz="4" w:space="0"/>
            </w:tcBorders>
            <w:shd w:val="clear" w:color="000000" w:fill="C0C0C0"/>
            <w:noWrap/>
            <w:vAlign w:val="center"/>
          </w:tcPr>
          <w:p>
            <w:pPr>
              <w:jc w:val="center"/>
              <w:rPr>
                <w:szCs w:val="20"/>
                <w:highlight w:val="none"/>
                <w:lang w:eastAsia="pt-BR"/>
              </w:rPr>
            </w:pPr>
            <w:r>
              <w:rPr>
                <w:szCs w:val="20"/>
                <w:highlight w:val="none"/>
                <w:lang w:eastAsia="pt-BR"/>
              </w:rPr>
              <w:t>% CD</w:t>
            </w:r>
          </w:p>
        </w:tc>
      </w:tr>
      <w:tr>
        <w:tblPrEx>
          <w:tblLayout w:type="fixed"/>
          <w:tblCellMar>
            <w:top w:w="0" w:type="dxa"/>
            <w:left w:w="70" w:type="dxa"/>
            <w:bottom w:w="0" w:type="dxa"/>
            <w:right w:w="70" w:type="dxa"/>
          </w:tblCellMar>
        </w:tblPrEx>
        <w:trPr>
          <w:trHeight w:val="255" w:hRule="atLeast"/>
          <w:jc w:val="center"/>
        </w:trPr>
        <w:tc>
          <w:tcPr>
            <w:tcW w:w="634" w:type="dxa"/>
            <w:tcBorders>
              <w:top w:val="single" w:color="auto" w:sz="4" w:space="0"/>
              <w:left w:val="single" w:color="auto" w:sz="4" w:space="0"/>
              <w:bottom w:val="nil"/>
              <w:right w:val="single" w:color="auto" w:sz="4" w:space="0"/>
            </w:tcBorders>
            <w:shd w:val="clear" w:color="auto" w:fill="auto"/>
            <w:noWrap/>
            <w:vAlign w:val="center"/>
          </w:tcPr>
          <w:p>
            <w:pPr>
              <w:jc w:val="center"/>
              <w:rPr>
                <w:bCs/>
                <w:szCs w:val="20"/>
                <w:highlight w:val="none"/>
                <w:lang w:eastAsia="pt-BR"/>
              </w:rPr>
            </w:pPr>
          </w:p>
        </w:tc>
        <w:tc>
          <w:tcPr>
            <w:tcW w:w="3958" w:type="dxa"/>
            <w:tcBorders>
              <w:top w:val="single" w:color="auto" w:sz="4" w:space="0"/>
              <w:left w:val="nil"/>
              <w:bottom w:val="nil"/>
              <w:right w:val="single" w:color="auto" w:sz="4" w:space="0"/>
            </w:tcBorders>
            <w:shd w:val="clear" w:color="auto" w:fill="auto"/>
            <w:noWrap/>
            <w:vAlign w:val="center"/>
          </w:tcPr>
          <w:p>
            <w:pPr>
              <w:rPr>
                <w:szCs w:val="20"/>
                <w:highlight w:val="none"/>
                <w:lang w:eastAsia="pt-BR"/>
              </w:rPr>
            </w:pPr>
          </w:p>
        </w:tc>
        <w:tc>
          <w:tcPr>
            <w:tcW w:w="2095" w:type="dxa"/>
            <w:tcBorders>
              <w:top w:val="single" w:color="auto" w:sz="4" w:space="0"/>
              <w:left w:val="nil"/>
              <w:bottom w:val="nil"/>
              <w:right w:val="single" w:color="auto" w:sz="4" w:space="0"/>
            </w:tcBorders>
            <w:shd w:val="clear" w:color="auto" w:fill="auto"/>
            <w:noWrap/>
            <w:vAlign w:val="center"/>
          </w:tcPr>
          <w:p>
            <w:pPr>
              <w:jc w:val="center"/>
              <w:rPr>
                <w:bCs/>
                <w:szCs w:val="20"/>
                <w:highlight w:val="none"/>
                <w:lang w:eastAsia="pt-BR"/>
              </w:rPr>
            </w:pPr>
          </w:p>
        </w:tc>
        <w:tc>
          <w:tcPr>
            <w:tcW w:w="1360" w:type="dxa"/>
            <w:tcBorders>
              <w:top w:val="single" w:color="auto" w:sz="4" w:space="0"/>
              <w:left w:val="single" w:color="auto" w:sz="4" w:space="0"/>
              <w:bottom w:val="nil"/>
              <w:right w:val="single" w:color="auto" w:sz="4" w:space="0"/>
            </w:tcBorders>
            <w:shd w:val="clear" w:color="auto" w:fill="auto"/>
            <w:noWrap/>
            <w:vAlign w:val="center"/>
          </w:tcPr>
          <w:p>
            <w:pPr>
              <w:jc w:val="center"/>
              <w:rPr>
                <w:bCs/>
                <w:szCs w:val="20"/>
                <w:highlight w:val="none"/>
                <w:lang w:eastAsia="pt-BR"/>
              </w:rPr>
            </w:pP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bCs/>
                <w:szCs w:val="20"/>
                <w:highlight w:val="none"/>
                <w:lang w:eastAsia="pt-BR"/>
              </w:rPr>
            </w:pPr>
            <w:r>
              <w:rPr>
                <w:bCs/>
                <w:szCs w:val="20"/>
                <w:highlight w:val="none"/>
                <w:lang w:eastAsia="pt-BR"/>
              </w:rPr>
              <w:t>1</w:t>
            </w:r>
          </w:p>
        </w:tc>
        <w:tc>
          <w:tcPr>
            <w:tcW w:w="3958" w:type="dxa"/>
            <w:tcBorders>
              <w:top w:val="nil"/>
              <w:left w:val="nil"/>
              <w:bottom w:val="nil"/>
              <w:right w:val="single" w:color="auto" w:sz="4" w:space="0"/>
            </w:tcBorders>
            <w:shd w:val="clear" w:color="auto" w:fill="auto"/>
            <w:noWrap/>
            <w:vAlign w:val="center"/>
          </w:tcPr>
          <w:p>
            <w:pPr>
              <w:rPr>
                <w:bCs/>
                <w:szCs w:val="20"/>
                <w:highlight w:val="none"/>
                <w:lang w:eastAsia="pt-BR"/>
              </w:rPr>
            </w:pPr>
            <w:r>
              <w:rPr>
                <w:bCs/>
                <w:szCs w:val="20"/>
                <w:highlight w:val="none"/>
                <w:lang w:eastAsia="pt-BR"/>
              </w:rPr>
              <w:t>ADMINISTRAÇÃO CENTRAL (AC)</w:t>
            </w:r>
          </w:p>
        </w:tc>
        <w:tc>
          <w:tcPr>
            <w:tcW w:w="2095" w:type="dxa"/>
            <w:tcBorders>
              <w:top w:val="nil"/>
              <w:left w:val="nil"/>
              <w:bottom w:val="nil"/>
              <w:right w:val="single" w:color="auto" w:sz="4" w:space="0"/>
            </w:tcBorders>
            <w:shd w:val="clear" w:color="auto" w:fill="auto"/>
            <w:noWrap/>
            <w:vAlign w:val="center"/>
          </w:tcPr>
          <w:p>
            <w:pPr>
              <w:jc w:val="center"/>
              <w:rPr>
                <w:bCs/>
                <w:szCs w:val="20"/>
                <w:highlight w:val="none"/>
                <w:lang w:eastAsia="pt-BR"/>
              </w:rPr>
            </w:pPr>
          </w:p>
        </w:tc>
        <w:tc>
          <w:tcPr>
            <w:tcW w:w="1360" w:type="dxa"/>
            <w:tcBorders>
              <w:top w:val="nil"/>
              <w:left w:val="single" w:color="auto" w:sz="4" w:space="0"/>
              <w:bottom w:val="nil"/>
              <w:right w:val="single" w:color="auto" w:sz="4" w:space="0"/>
            </w:tcBorders>
            <w:shd w:val="clear" w:color="auto" w:fill="auto"/>
            <w:noWrap/>
            <w:vAlign w:val="center"/>
          </w:tcPr>
          <w:p>
            <w:pPr>
              <w:jc w:val="center"/>
              <w:rPr>
                <w:bCs/>
                <w:szCs w:val="20"/>
                <w:highlight w:val="none"/>
                <w:lang w:eastAsia="pt-BR"/>
              </w:rPr>
            </w:pPr>
            <w:r>
              <w:rPr>
                <w:bCs/>
                <w:szCs w:val="20"/>
                <w:highlight w:val="none"/>
                <w:lang w:val="en-US" w:eastAsia="pt-BR"/>
              </w:rPr>
              <w:t>3,4</w:t>
            </w:r>
            <w:r>
              <w:rPr>
                <w:bCs/>
                <w:szCs w:val="20"/>
                <w:highlight w:val="none"/>
                <w:lang w:eastAsia="pt-BR"/>
              </w:rPr>
              <w:t>5%</w:t>
            </w: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bCs/>
                <w:szCs w:val="20"/>
                <w:highlight w:val="none"/>
                <w:lang w:eastAsia="pt-BR"/>
              </w:rPr>
            </w:pPr>
            <w:r>
              <w:rPr>
                <w:bCs/>
                <w:szCs w:val="20"/>
                <w:highlight w:val="none"/>
                <w:lang w:eastAsia="pt-BR"/>
              </w:rPr>
              <w:t>2</w:t>
            </w:r>
          </w:p>
        </w:tc>
        <w:tc>
          <w:tcPr>
            <w:tcW w:w="3958" w:type="dxa"/>
            <w:tcBorders>
              <w:top w:val="nil"/>
              <w:left w:val="nil"/>
              <w:bottom w:val="nil"/>
              <w:right w:val="single" w:color="auto" w:sz="4" w:space="0"/>
            </w:tcBorders>
            <w:shd w:val="clear" w:color="auto" w:fill="auto"/>
            <w:noWrap/>
            <w:vAlign w:val="center"/>
          </w:tcPr>
          <w:p>
            <w:pPr>
              <w:rPr>
                <w:bCs/>
                <w:szCs w:val="20"/>
                <w:highlight w:val="none"/>
                <w:lang w:eastAsia="pt-BR"/>
              </w:rPr>
            </w:pPr>
            <w:r>
              <w:rPr>
                <w:bCs/>
                <w:szCs w:val="20"/>
                <w:highlight w:val="none"/>
                <w:lang w:eastAsia="pt-BR"/>
              </w:rPr>
              <w:t>IMPOSTOS E TAXAS (I)</w:t>
            </w:r>
          </w:p>
        </w:tc>
        <w:tc>
          <w:tcPr>
            <w:tcW w:w="2095" w:type="dxa"/>
            <w:tcBorders>
              <w:top w:val="nil"/>
              <w:left w:val="nil"/>
              <w:bottom w:val="nil"/>
              <w:right w:val="single" w:color="auto" w:sz="4" w:space="0"/>
            </w:tcBorders>
            <w:shd w:val="clear" w:color="auto" w:fill="auto"/>
            <w:noWrap/>
            <w:vAlign w:val="center"/>
          </w:tcPr>
          <w:p>
            <w:pPr>
              <w:jc w:val="center"/>
              <w:rPr>
                <w:bCs/>
                <w:szCs w:val="20"/>
                <w:highlight w:val="none"/>
                <w:lang w:eastAsia="pt-BR"/>
              </w:rPr>
            </w:pPr>
            <w:r>
              <w:rPr>
                <w:bCs/>
                <w:szCs w:val="20"/>
                <w:highlight w:val="none"/>
                <w:lang w:eastAsia="pt-BR"/>
              </w:rPr>
              <w:t>3,65%</w:t>
            </w:r>
          </w:p>
        </w:tc>
        <w:tc>
          <w:tcPr>
            <w:tcW w:w="1360" w:type="dxa"/>
            <w:tcBorders>
              <w:top w:val="nil"/>
              <w:left w:val="single" w:color="auto" w:sz="4" w:space="0"/>
              <w:bottom w:val="nil"/>
              <w:right w:val="single" w:color="auto" w:sz="4" w:space="0"/>
            </w:tcBorders>
            <w:shd w:val="clear" w:color="auto" w:fill="auto"/>
            <w:noWrap/>
            <w:vAlign w:val="center"/>
          </w:tcPr>
          <w:p>
            <w:pPr>
              <w:jc w:val="center"/>
              <w:rPr>
                <w:bCs/>
                <w:szCs w:val="20"/>
                <w:highlight w:val="none"/>
                <w:lang w:eastAsia="pt-BR"/>
              </w:rPr>
            </w:pP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r>
              <w:rPr>
                <w:szCs w:val="20"/>
                <w:highlight w:val="none"/>
                <w:lang w:eastAsia="pt-BR"/>
              </w:rPr>
              <w:t>2.1</w:t>
            </w: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r>
              <w:rPr>
                <w:szCs w:val="20"/>
                <w:highlight w:val="none"/>
                <w:lang w:eastAsia="pt-BR"/>
              </w:rPr>
              <w:t>ISS</w:t>
            </w: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r>
              <w:rPr>
                <w:szCs w:val="20"/>
                <w:highlight w:val="none"/>
                <w:lang w:eastAsia="pt-BR"/>
              </w:rPr>
              <w:t>0,00%</w:t>
            </w:r>
          </w:p>
        </w:tc>
        <w:tc>
          <w:tcPr>
            <w:tcW w:w="1360"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r>
              <w:rPr>
                <w:szCs w:val="20"/>
                <w:highlight w:val="none"/>
                <w:lang w:eastAsia="pt-BR"/>
              </w:rPr>
              <w:t>2.1</w:t>
            </w: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r>
              <w:rPr>
                <w:szCs w:val="20"/>
                <w:highlight w:val="none"/>
                <w:lang w:eastAsia="pt-BR"/>
              </w:rPr>
              <w:t>PIS</w:t>
            </w: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r>
              <w:rPr>
                <w:szCs w:val="20"/>
                <w:highlight w:val="none"/>
                <w:lang w:eastAsia="pt-BR"/>
              </w:rPr>
              <w:t>0,65%</w:t>
            </w:r>
          </w:p>
        </w:tc>
        <w:tc>
          <w:tcPr>
            <w:tcW w:w="1360"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r>
              <w:rPr>
                <w:szCs w:val="20"/>
                <w:highlight w:val="none"/>
                <w:lang w:eastAsia="pt-BR"/>
              </w:rPr>
              <w:t>2.3</w:t>
            </w: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r>
              <w:rPr>
                <w:szCs w:val="20"/>
                <w:highlight w:val="none"/>
                <w:lang w:eastAsia="pt-BR"/>
              </w:rPr>
              <w:t>Cofins</w:t>
            </w: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r>
              <w:rPr>
                <w:szCs w:val="20"/>
                <w:highlight w:val="none"/>
                <w:lang w:eastAsia="pt-BR"/>
              </w:rPr>
              <w:t>3,00%</w:t>
            </w:r>
          </w:p>
        </w:tc>
        <w:tc>
          <w:tcPr>
            <w:tcW w:w="1360"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p>
        </w:tc>
      </w:tr>
      <w:tr>
        <w:tblPrEx>
          <w:tblLayout w:type="fixed"/>
          <w:tblCellMar>
            <w:top w:w="0" w:type="dxa"/>
            <w:left w:w="70" w:type="dxa"/>
            <w:bottom w:w="0" w:type="dxa"/>
            <w:right w:w="70" w:type="dxa"/>
          </w:tblCellMar>
        </w:tblPrEx>
        <w:trPr>
          <w:trHeight w:val="392"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bCs/>
                <w:szCs w:val="20"/>
                <w:highlight w:val="none"/>
                <w:lang w:eastAsia="pt-BR"/>
              </w:rPr>
            </w:pPr>
            <w:r>
              <w:rPr>
                <w:bCs/>
                <w:szCs w:val="20"/>
                <w:highlight w:val="none"/>
                <w:lang w:eastAsia="pt-BR"/>
              </w:rPr>
              <w:t>3</w:t>
            </w:r>
          </w:p>
        </w:tc>
        <w:tc>
          <w:tcPr>
            <w:tcW w:w="3958" w:type="dxa"/>
            <w:tcBorders>
              <w:top w:val="nil"/>
              <w:left w:val="nil"/>
              <w:bottom w:val="nil"/>
              <w:right w:val="single" w:color="auto" w:sz="4" w:space="0"/>
            </w:tcBorders>
            <w:shd w:val="clear" w:color="auto" w:fill="auto"/>
            <w:vAlign w:val="center"/>
          </w:tcPr>
          <w:p>
            <w:pPr>
              <w:rPr>
                <w:bCs/>
                <w:szCs w:val="20"/>
                <w:highlight w:val="none"/>
                <w:lang w:eastAsia="pt-BR"/>
              </w:rPr>
            </w:pPr>
            <w:r>
              <w:rPr>
                <w:bCs/>
                <w:szCs w:val="20"/>
                <w:highlight w:val="none"/>
                <w:lang w:eastAsia="pt-BR"/>
              </w:rPr>
              <w:t>RISCO, SEGURO E GARANTIAS</w:t>
            </w: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single" w:color="auto" w:sz="4" w:space="0"/>
              <w:bottom w:val="nil"/>
              <w:right w:val="single" w:color="auto" w:sz="4" w:space="0"/>
            </w:tcBorders>
            <w:shd w:val="clear" w:color="auto" w:fill="auto"/>
            <w:noWrap/>
            <w:vAlign w:val="center"/>
          </w:tcPr>
          <w:p>
            <w:pPr>
              <w:jc w:val="center"/>
              <w:rPr>
                <w:bCs/>
                <w:szCs w:val="20"/>
                <w:highlight w:val="none"/>
                <w:lang w:eastAsia="pt-BR"/>
              </w:rPr>
            </w:pPr>
            <w:r>
              <w:rPr>
                <w:bCs/>
                <w:szCs w:val="20"/>
                <w:highlight w:val="none"/>
                <w:lang w:eastAsia="pt-BR"/>
              </w:rPr>
              <w:t>1,</w:t>
            </w:r>
            <w:r>
              <w:rPr>
                <w:rFonts w:hint="default"/>
                <w:bCs/>
                <w:szCs w:val="20"/>
                <w:highlight w:val="none"/>
                <w:lang w:val="en-US" w:eastAsia="pt-BR"/>
              </w:rPr>
              <w:t>33</w:t>
            </w:r>
            <w:r>
              <w:rPr>
                <w:bCs/>
                <w:szCs w:val="20"/>
                <w:highlight w:val="none"/>
                <w:lang w:eastAsia="pt-BR"/>
              </w:rPr>
              <w:t>%</w:t>
            </w: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r>
              <w:rPr>
                <w:szCs w:val="20"/>
                <w:highlight w:val="none"/>
                <w:lang w:eastAsia="pt-BR"/>
              </w:rPr>
              <w:t>3.1</w:t>
            </w: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r>
              <w:rPr>
                <w:szCs w:val="20"/>
                <w:highlight w:val="none"/>
                <w:lang w:eastAsia="pt-BR"/>
              </w:rPr>
              <w:t>Risco (R)</w:t>
            </w: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r>
              <w:rPr>
                <w:szCs w:val="20"/>
                <w:highlight w:val="none"/>
                <w:lang w:eastAsia="pt-BR"/>
              </w:rPr>
              <w:t>0,</w:t>
            </w:r>
            <w:r>
              <w:rPr>
                <w:rFonts w:hint="default"/>
                <w:szCs w:val="20"/>
                <w:highlight w:val="none"/>
                <w:lang w:val="en-US" w:eastAsia="pt-BR"/>
              </w:rPr>
              <w:t>63</w:t>
            </w:r>
            <w:r>
              <w:rPr>
                <w:szCs w:val="20"/>
                <w:highlight w:val="none"/>
                <w:lang w:eastAsia="pt-BR"/>
              </w:rPr>
              <w:t>%</w:t>
            </w: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r>
              <w:rPr>
                <w:szCs w:val="20"/>
                <w:highlight w:val="none"/>
                <w:lang w:eastAsia="pt-BR"/>
              </w:rPr>
              <w:t>3.2</w:t>
            </w: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r>
              <w:rPr>
                <w:szCs w:val="20"/>
                <w:highlight w:val="none"/>
                <w:lang w:eastAsia="pt-BR"/>
              </w:rPr>
              <w:t>Seguro (S)</w:t>
            </w: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r>
              <w:rPr>
                <w:szCs w:val="20"/>
                <w:highlight w:val="none"/>
                <w:lang w:eastAsia="pt-BR"/>
              </w:rPr>
              <w:t>0,</w:t>
            </w:r>
            <w:r>
              <w:rPr>
                <w:rFonts w:hint="default"/>
                <w:szCs w:val="20"/>
                <w:highlight w:val="none"/>
                <w:lang w:val="en-US" w:eastAsia="pt-BR"/>
              </w:rPr>
              <w:t>35</w:t>
            </w:r>
            <w:r>
              <w:rPr>
                <w:szCs w:val="20"/>
                <w:highlight w:val="none"/>
                <w:lang w:eastAsia="pt-BR"/>
              </w:rPr>
              <w:t>%</w:t>
            </w: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r>
              <w:rPr>
                <w:szCs w:val="20"/>
                <w:highlight w:val="none"/>
                <w:lang w:eastAsia="pt-BR"/>
              </w:rPr>
              <w:t>3.3</w:t>
            </w: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r>
              <w:rPr>
                <w:szCs w:val="20"/>
                <w:highlight w:val="none"/>
                <w:lang w:eastAsia="pt-BR"/>
              </w:rPr>
              <w:t>Garantia (G)</w:t>
            </w: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r>
              <w:rPr>
                <w:szCs w:val="20"/>
                <w:highlight w:val="none"/>
                <w:lang w:eastAsia="pt-BR"/>
              </w:rPr>
              <w:t>0,</w:t>
            </w:r>
            <w:r>
              <w:rPr>
                <w:rFonts w:hint="default"/>
                <w:szCs w:val="20"/>
                <w:highlight w:val="none"/>
                <w:lang w:val="en-US" w:eastAsia="pt-BR"/>
              </w:rPr>
              <w:t>35</w:t>
            </w:r>
            <w:r>
              <w:rPr>
                <w:szCs w:val="20"/>
                <w:highlight w:val="none"/>
                <w:lang w:eastAsia="pt-BR"/>
              </w:rPr>
              <w:t>%</w:t>
            </w: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bCs/>
                <w:szCs w:val="20"/>
                <w:highlight w:val="none"/>
                <w:lang w:eastAsia="pt-BR"/>
              </w:rPr>
            </w:pPr>
            <w:r>
              <w:rPr>
                <w:bCs/>
                <w:szCs w:val="20"/>
                <w:highlight w:val="none"/>
                <w:lang w:eastAsia="pt-BR"/>
              </w:rPr>
              <w:t>4</w:t>
            </w:r>
          </w:p>
        </w:tc>
        <w:tc>
          <w:tcPr>
            <w:tcW w:w="3958" w:type="dxa"/>
            <w:tcBorders>
              <w:top w:val="nil"/>
              <w:left w:val="nil"/>
              <w:bottom w:val="nil"/>
              <w:right w:val="single" w:color="auto" w:sz="4" w:space="0"/>
            </w:tcBorders>
            <w:shd w:val="clear" w:color="auto" w:fill="auto"/>
            <w:noWrap/>
            <w:vAlign w:val="center"/>
          </w:tcPr>
          <w:p>
            <w:pPr>
              <w:rPr>
                <w:bCs/>
                <w:szCs w:val="20"/>
                <w:highlight w:val="none"/>
                <w:lang w:eastAsia="pt-BR"/>
              </w:rPr>
            </w:pPr>
            <w:r>
              <w:rPr>
                <w:bCs/>
                <w:szCs w:val="20"/>
                <w:highlight w:val="none"/>
                <w:lang w:eastAsia="pt-BR"/>
              </w:rPr>
              <w:t>DESPESAS FINANCEIRAS (DF)</w:t>
            </w: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single" w:color="auto" w:sz="4" w:space="0"/>
              <w:bottom w:val="nil"/>
              <w:right w:val="single" w:color="auto" w:sz="4" w:space="0"/>
            </w:tcBorders>
            <w:shd w:val="clear" w:color="auto" w:fill="auto"/>
            <w:noWrap/>
            <w:vAlign w:val="center"/>
          </w:tcPr>
          <w:p>
            <w:pPr>
              <w:jc w:val="center"/>
              <w:rPr>
                <w:bCs/>
                <w:szCs w:val="20"/>
                <w:highlight w:val="none"/>
                <w:lang w:eastAsia="pt-BR"/>
              </w:rPr>
            </w:pPr>
            <w:r>
              <w:rPr>
                <w:bCs/>
                <w:szCs w:val="20"/>
                <w:highlight w:val="none"/>
                <w:lang w:val="en-US" w:eastAsia="pt-BR"/>
              </w:rPr>
              <w:t>0,85</w:t>
            </w:r>
            <w:r>
              <w:rPr>
                <w:bCs/>
                <w:szCs w:val="20"/>
                <w:highlight w:val="none"/>
                <w:lang w:eastAsia="pt-BR"/>
              </w:rPr>
              <w:t>%</w:t>
            </w: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p>
        </w:tc>
        <w:tc>
          <w:tcPr>
            <w:tcW w:w="3958" w:type="dxa"/>
            <w:tcBorders>
              <w:top w:val="nil"/>
              <w:left w:val="nil"/>
              <w:bottom w:val="nil"/>
              <w:right w:val="single" w:color="auto" w:sz="4" w:space="0"/>
            </w:tcBorders>
            <w:shd w:val="clear" w:color="auto" w:fill="auto"/>
            <w:noWrap/>
            <w:vAlign w:val="center"/>
          </w:tcPr>
          <w:p>
            <w:pPr>
              <w:rPr>
                <w:szCs w:val="20"/>
                <w:highlight w:val="none"/>
                <w:lang w:eastAsia="pt-BR"/>
              </w:rPr>
            </w:pPr>
          </w:p>
        </w:tc>
        <w:tc>
          <w:tcPr>
            <w:tcW w:w="2095" w:type="dxa"/>
            <w:tcBorders>
              <w:top w:val="nil"/>
              <w:left w:val="nil"/>
              <w:bottom w:val="nil"/>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single" w:color="auto" w:sz="4" w:space="0"/>
              <w:bottom w:val="nil"/>
              <w:right w:val="single" w:color="auto" w:sz="4" w:space="0"/>
            </w:tcBorders>
            <w:shd w:val="clear" w:color="auto" w:fill="auto"/>
            <w:noWrap/>
            <w:vAlign w:val="center"/>
          </w:tcPr>
          <w:p>
            <w:pPr>
              <w:jc w:val="center"/>
              <w:rPr>
                <w:szCs w:val="20"/>
                <w:highlight w:val="none"/>
                <w:lang w:eastAsia="pt-BR"/>
              </w:rPr>
            </w:pPr>
          </w:p>
        </w:tc>
      </w:tr>
      <w:tr>
        <w:tblPrEx>
          <w:tblLayout w:type="fixed"/>
          <w:tblCellMar>
            <w:top w:w="0" w:type="dxa"/>
            <w:left w:w="70" w:type="dxa"/>
            <w:bottom w:w="0" w:type="dxa"/>
            <w:right w:w="70" w:type="dxa"/>
          </w:tblCellMar>
        </w:tblPrEx>
        <w:trPr>
          <w:trHeight w:val="255" w:hRule="atLeast"/>
          <w:jc w:val="center"/>
        </w:trPr>
        <w:tc>
          <w:tcPr>
            <w:tcW w:w="634" w:type="dxa"/>
            <w:tcBorders>
              <w:top w:val="nil"/>
              <w:left w:val="single" w:color="auto" w:sz="4" w:space="0"/>
              <w:bottom w:val="nil"/>
              <w:right w:val="single" w:color="auto" w:sz="4" w:space="0"/>
            </w:tcBorders>
            <w:shd w:val="clear" w:color="auto" w:fill="auto"/>
            <w:noWrap/>
            <w:vAlign w:val="center"/>
          </w:tcPr>
          <w:p>
            <w:pPr>
              <w:jc w:val="center"/>
              <w:rPr>
                <w:bCs/>
                <w:szCs w:val="20"/>
                <w:highlight w:val="none"/>
                <w:lang w:eastAsia="pt-BR"/>
              </w:rPr>
            </w:pPr>
            <w:r>
              <w:rPr>
                <w:bCs/>
                <w:szCs w:val="20"/>
                <w:highlight w:val="none"/>
                <w:lang w:eastAsia="pt-BR"/>
              </w:rPr>
              <w:t>5</w:t>
            </w:r>
          </w:p>
        </w:tc>
        <w:tc>
          <w:tcPr>
            <w:tcW w:w="3958" w:type="dxa"/>
            <w:tcBorders>
              <w:top w:val="nil"/>
              <w:left w:val="nil"/>
              <w:bottom w:val="nil"/>
              <w:right w:val="single" w:color="auto" w:sz="4" w:space="0"/>
            </w:tcBorders>
            <w:shd w:val="clear" w:color="auto" w:fill="auto"/>
            <w:noWrap/>
            <w:vAlign w:val="center"/>
          </w:tcPr>
          <w:p>
            <w:pPr>
              <w:rPr>
                <w:bCs/>
                <w:szCs w:val="20"/>
                <w:highlight w:val="none"/>
                <w:lang w:eastAsia="pt-BR"/>
              </w:rPr>
            </w:pPr>
            <w:r>
              <w:rPr>
                <w:bCs/>
                <w:szCs w:val="20"/>
                <w:highlight w:val="none"/>
                <w:lang w:eastAsia="pt-BR"/>
              </w:rPr>
              <w:t>LUCRO (L)</w:t>
            </w:r>
          </w:p>
        </w:tc>
        <w:tc>
          <w:tcPr>
            <w:tcW w:w="2095" w:type="dxa"/>
            <w:tcBorders>
              <w:top w:val="nil"/>
              <w:left w:val="nil"/>
              <w:bottom w:val="nil"/>
              <w:right w:val="single" w:color="auto" w:sz="4" w:space="0"/>
            </w:tcBorders>
            <w:shd w:val="clear" w:color="auto" w:fill="auto"/>
            <w:noWrap/>
            <w:vAlign w:val="center"/>
          </w:tcPr>
          <w:p>
            <w:pPr>
              <w:jc w:val="center"/>
              <w:rPr>
                <w:bCs/>
                <w:szCs w:val="20"/>
                <w:highlight w:val="none"/>
                <w:lang w:eastAsia="pt-BR"/>
              </w:rPr>
            </w:pPr>
          </w:p>
        </w:tc>
        <w:tc>
          <w:tcPr>
            <w:tcW w:w="1360" w:type="dxa"/>
            <w:tcBorders>
              <w:top w:val="nil"/>
              <w:left w:val="single" w:color="auto" w:sz="4" w:space="0"/>
              <w:bottom w:val="nil"/>
              <w:right w:val="single" w:color="auto" w:sz="4" w:space="0"/>
            </w:tcBorders>
            <w:shd w:val="clear" w:color="auto" w:fill="auto"/>
            <w:noWrap/>
            <w:vAlign w:val="center"/>
          </w:tcPr>
          <w:p>
            <w:pPr>
              <w:jc w:val="center"/>
              <w:rPr>
                <w:bCs/>
                <w:szCs w:val="20"/>
                <w:highlight w:val="none"/>
                <w:lang w:eastAsia="pt-BR"/>
              </w:rPr>
            </w:pPr>
            <w:r>
              <w:rPr>
                <w:bCs/>
                <w:szCs w:val="20"/>
                <w:highlight w:val="none"/>
                <w:lang w:val="en-US" w:eastAsia="pt-BR"/>
              </w:rPr>
              <w:t>5</w:t>
            </w:r>
            <w:r>
              <w:rPr>
                <w:bCs/>
                <w:szCs w:val="20"/>
                <w:highlight w:val="none"/>
                <w:lang w:eastAsia="pt-BR"/>
              </w:rPr>
              <w:t>,</w:t>
            </w:r>
            <w:r>
              <w:rPr>
                <w:bCs/>
                <w:szCs w:val="20"/>
                <w:highlight w:val="none"/>
                <w:lang w:val="en-US" w:eastAsia="pt-BR"/>
              </w:rPr>
              <w:t>11</w:t>
            </w:r>
            <w:r>
              <w:rPr>
                <w:bCs/>
                <w:szCs w:val="20"/>
                <w:highlight w:val="none"/>
                <w:lang w:eastAsia="pt-BR"/>
              </w:rPr>
              <w:t>%</w:t>
            </w:r>
          </w:p>
        </w:tc>
      </w:tr>
      <w:tr>
        <w:tblPrEx>
          <w:tblLayout w:type="fixed"/>
          <w:tblCellMar>
            <w:top w:w="0" w:type="dxa"/>
            <w:left w:w="70" w:type="dxa"/>
            <w:bottom w:w="0" w:type="dxa"/>
            <w:right w:w="70" w:type="dxa"/>
          </w:tblCellMar>
        </w:tblPrEx>
        <w:trPr>
          <w:trHeight w:val="270" w:hRule="atLeast"/>
          <w:jc w:val="center"/>
        </w:trPr>
        <w:tc>
          <w:tcPr>
            <w:tcW w:w="634" w:type="dxa"/>
            <w:tcBorders>
              <w:top w:val="nil"/>
              <w:left w:val="single" w:color="auto" w:sz="4" w:space="0"/>
              <w:bottom w:val="single" w:color="auto" w:sz="4" w:space="0"/>
              <w:right w:val="single" w:color="auto" w:sz="4" w:space="0"/>
            </w:tcBorders>
            <w:shd w:val="clear" w:color="auto" w:fill="auto"/>
            <w:noWrap/>
            <w:vAlign w:val="center"/>
          </w:tcPr>
          <w:p>
            <w:pPr>
              <w:jc w:val="center"/>
              <w:rPr>
                <w:szCs w:val="20"/>
                <w:highlight w:val="none"/>
                <w:lang w:eastAsia="pt-BR"/>
              </w:rPr>
            </w:pPr>
          </w:p>
        </w:tc>
        <w:tc>
          <w:tcPr>
            <w:tcW w:w="3958" w:type="dxa"/>
            <w:tcBorders>
              <w:top w:val="nil"/>
              <w:left w:val="nil"/>
              <w:bottom w:val="single" w:color="auto" w:sz="4" w:space="0"/>
              <w:right w:val="single" w:color="auto" w:sz="4" w:space="0"/>
            </w:tcBorders>
            <w:shd w:val="clear" w:color="auto" w:fill="auto"/>
            <w:noWrap/>
            <w:vAlign w:val="center"/>
          </w:tcPr>
          <w:p>
            <w:pPr>
              <w:rPr>
                <w:szCs w:val="20"/>
                <w:highlight w:val="none"/>
                <w:lang w:eastAsia="pt-BR"/>
              </w:rPr>
            </w:pPr>
          </w:p>
        </w:tc>
        <w:tc>
          <w:tcPr>
            <w:tcW w:w="2095" w:type="dxa"/>
            <w:tcBorders>
              <w:top w:val="nil"/>
              <w:left w:val="nil"/>
              <w:bottom w:val="single" w:color="auto" w:sz="4" w:space="0"/>
              <w:right w:val="single" w:color="auto" w:sz="4" w:space="0"/>
            </w:tcBorders>
            <w:shd w:val="clear" w:color="auto" w:fill="auto"/>
            <w:noWrap/>
            <w:vAlign w:val="center"/>
          </w:tcPr>
          <w:p>
            <w:pPr>
              <w:jc w:val="center"/>
              <w:rPr>
                <w:szCs w:val="20"/>
                <w:highlight w:val="none"/>
                <w:lang w:eastAsia="pt-BR"/>
              </w:rPr>
            </w:pPr>
          </w:p>
        </w:tc>
        <w:tc>
          <w:tcPr>
            <w:tcW w:w="1360" w:type="dxa"/>
            <w:tcBorders>
              <w:top w:val="nil"/>
              <w:left w:val="single" w:color="auto" w:sz="4" w:space="0"/>
              <w:bottom w:val="single" w:color="auto" w:sz="4" w:space="0"/>
              <w:right w:val="single" w:color="auto" w:sz="4" w:space="0"/>
            </w:tcBorders>
            <w:shd w:val="clear" w:color="auto" w:fill="auto"/>
            <w:noWrap/>
            <w:vAlign w:val="center"/>
          </w:tcPr>
          <w:p>
            <w:pPr>
              <w:jc w:val="center"/>
              <w:rPr>
                <w:szCs w:val="20"/>
                <w:highlight w:val="none"/>
                <w:lang w:eastAsia="pt-BR"/>
              </w:rPr>
            </w:pPr>
          </w:p>
        </w:tc>
      </w:tr>
      <w:tr>
        <w:tblPrEx>
          <w:tblLayout w:type="fixed"/>
          <w:tblCellMar>
            <w:top w:w="0" w:type="dxa"/>
            <w:left w:w="70" w:type="dxa"/>
            <w:bottom w:w="0" w:type="dxa"/>
            <w:right w:w="70" w:type="dxa"/>
          </w:tblCellMar>
        </w:tblPrEx>
        <w:trPr>
          <w:trHeight w:val="270" w:hRule="atLeast"/>
          <w:jc w:val="center"/>
        </w:trPr>
        <w:tc>
          <w:tcPr>
            <w:tcW w:w="6687" w:type="dxa"/>
            <w:gridSpan w:val="3"/>
            <w:tcBorders>
              <w:top w:val="single" w:color="auto" w:sz="4" w:space="0"/>
              <w:left w:val="single" w:color="auto" w:sz="4" w:space="0"/>
              <w:bottom w:val="single" w:color="auto" w:sz="4" w:space="0"/>
              <w:right w:val="single" w:color="auto" w:sz="4" w:space="0"/>
            </w:tcBorders>
            <w:shd w:val="clear" w:color="auto" w:fill="auto"/>
            <w:noWrap/>
            <w:vAlign w:val="center"/>
          </w:tcPr>
          <w:p>
            <w:pPr>
              <w:jc w:val="center"/>
              <w:rPr>
                <w:bCs/>
                <w:szCs w:val="20"/>
                <w:highlight w:val="none"/>
                <w:lang w:eastAsia="pt-BR"/>
              </w:rPr>
            </w:pPr>
            <w:r>
              <w:rPr>
                <w:bCs/>
                <w:szCs w:val="20"/>
                <w:highlight w:val="none"/>
                <w:lang w:eastAsia="pt-BR"/>
              </w:rPr>
              <w:t>BDI* (%)=</w:t>
            </w:r>
          </w:p>
        </w:tc>
        <w:tc>
          <w:tcPr>
            <w:tcW w:w="1360" w:type="dxa"/>
            <w:tcBorders>
              <w:top w:val="single" w:color="auto" w:sz="4" w:space="0"/>
              <w:left w:val="single" w:color="auto" w:sz="4" w:space="0"/>
              <w:bottom w:val="single" w:color="auto" w:sz="4" w:space="0"/>
              <w:right w:val="single" w:color="auto" w:sz="4" w:space="0"/>
            </w:tcBorders>
            <w:shd w:val="clear" w:color="auto" w:fill="auto"/>
            <w:noWrap/>
            <w:vAlign w:val="center"/>
          </w:tcPr>
          <w:p>
            <w:pPr>
              <w:jc w:val="center"/>
              <w:rPr>
                <w:rFonts w:hint="default"/>
                <w:bCs/>
                <w:szCs w:val="20"/>
                <w:highlight w:val="none"/>
                <w:lang w:val="en-US" w:eastAsia="pt-BR"/>
              </w:rPr>
            </w:pPr>
            <w:r>
              <w:rPr>
                <w:bCs/>
                <w:szCs w:val="20"/>
                <w:highlight w:val="none"/>
                <w:lang w:val="en-US" w:eastAsia="pt-BR"/>
              </w:rPr>
              <w:t>15</w:t>
            </w:r>
            <w:r>
              <w:rPr>
                <w:bCs/>
                <w:szCs w:val="20"/>
                <w:highlight w:val="none"/>
                <w:lang w:eastAsia="pt-BR"/>
              </w:rPr>
              <w:t>,</w:t>
            </w:r>
            <w:r>
              <w:rPr>
                <w:rFonts w:hint="default"/>
                <w:bCs/>
                <w:szCs w:val="20"/>
                <w:highlight w:val="none"/>
                <w:lang w:val="en-US" w:eastAsia="pt-BR"/>
              </w:rPr>
              <w:t>30</w:t>
            </w:r>
          </w:p>
        </w:tc>
      </w:tr>
    </w:tbl>
    <w:p>
      <w:pPr>
        <w:rPr>
          <w:szCs w:val="20"/>
          <w:highlight w:val="none"/>
        </w:rPr>
      </w:pPr>
    </w:p>
    <w:p>
      <w:pPr>
        <w:ind w:left="284"/>
        <w:rPr>
          <w:szCs w:val="20"/>
          <w:highlight w:val="none"/>
        </w:rPr>
      </w:pPr>
      <w:r>
        <w:rPr>
          <w:szCs w:val="20"/>
          <w:highlight w:val="none"/>
        </w:rPr>
        <w:t>Considerações:</w:t>
      </w:r>
    </w:p>
    <w:p>
      <w:pPr>
        <w:ind w:left="284"/>
        <w:rPr>
          <w:szCs w:val="20"/>
          <w:highlight w:val="none"/>
        </w:rPr>
      </w:pPr>
      <w:r>
        <w:rPr>
          <w:szCs w:val="20"/>
          <w:highlight w:val="none"/>
        </w:rPr>
        <w:t>Acórdão nº 2369/2011</w:t>
      </w:r>
    </w:p>
    <w:p>
      <w:pPr>
        <w:ind w:left="284"/>
        <w:rPr>
          <w:szCs w:val="20"/>
          <w:highlight w:val="none"/>
        </w:rPr>
      </w:pPr>
      <w:r>
        <w:rPr>
          <w:szCs w:val="20"/>
          <w:highlight w:val="none"/>
        </w:rPr>
        <w:t>BDI (%) = (((1+(AC+S+R+G))x(1+DF)x(1+L)/(1-I))-1)x100</w:t>
      </w:r>
    </w:p>
    <w:p>
      <w:pPr>
        <w:rPr>
          <w:szCs w:val="20"/>
          <w:highlight w:val="none"/>
        </w:rPr>
      </w:pPr>
    </w:p>
    <w:p>
      <w:pPr>
        <w:pStyle w:val="21"/>
        <w:rPr>
          <w:szCs w:val="20"/>
          <w:highlight w:val="none"/>
        </w:rPr>
      </w:pPr>
      <w:r>
        <w:rPr>
          <w:szCs w:val="20"/>
          <w:highlight w:val="none"/>
        </w:rPr>
        <w:br w:type="page"/>
      </w:r>
      <w:bookmarkStart w:id="74" w:name="_Toc352230698"/>
    </w:p>
    <w:p>
      <w:pPr>
        <w:pStyle w:val="21"/>
        <w:rPr>
          <w:szCs w:val="20"/>
          <w:highlight w:val="none"/>
        </w:rPr>
      </w:pPr>
      <w:bookmarkStart w:id="75" w:name="_Ref450205759"/>
      <w:bookmarkStart w:id="76" w:name="_Ref450206152"/>
      <w:r>
        <w:rPr>
          <w:szCs w:val="20"/>
          <w:highlight w:val="none"/>
        </w:rPr>
        <w:t xml:space="preserve">Anexo </w:t>
      </w:r>
      <w:r>
        <w:rPr>
          <w:szCs w:val="20"/>
          <w:highlight w:val="none"/>
        </w:rPr>
        <w:fldChar w:fldCharType="begin"/>
      </w:r>
      <w:r>
        <w:rPr>
          <w:szCs w:val="20"/>
          <w:highlight w:val="none"/>
        </w:rPr>
        <w:instrText xml:space="preserve"> SEQ Anexo \* ROMAN </w:instrText>
      </w:r>
      <w:r>
        <w:rPr>
          <w:szCs w:val="20"/>
          <w:highlight w:val="none"/>
        </w:rPr>
        <w:fldChar w:fldCharType="separate"/>
      </w:r>
      <w:r>
        <w:rPr>
          <w:szCs w:val="20"/>
          <w:highlight w:val="none"/>
        </w:rPr>
        <w:t>V</w:t>
      </w:r>
      <w:r>
        <w:rPr>
          <w:szCs w:val="20"/>
          <w:highlight w:val="none"/>
        </w:rPr>
        <w:fldChar w:fldCharType="end"/>
      </w:r>
      <w:bookmarkEnd w:id="75"/>
      <w:r>
        <w:rPr>
          <w:szCs w:val="20"/>
          <w:highlight w:val="none"/>
        </w:rPr>
        <w:t>: Desenhos e memoriais</w:t>
      </w:r>
      <w:bookmarkEnd w:id="76"/>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bookmarkEnd w:id="74"/>
    <w:p>
      <w:pPr>
        <w:jc w:val="center"/>
        <w:rPr>
          <w:b/>
          <w:szCs w:val="20"/>
          <w:highlight w:val="none"/>
        </w:rPr>
      </w:pPr>
      <w:r>
        <w:rPr>
          <w:b/>
          <w:szCs w:val="20"/>
          <w:highlight w:val="none"/>
        </w:rPr>
        <w:t>DESENHOS E MEMORIAIS – NORMAS/ESPECIFICAÇÕES TÉCNICAS</w:t>
      </w:r>
    </w:p>
    <w:p>
      <w:pPr>
        <w:rPr>
          <w:szCs w:val="20"/>
          <w:highlight w:val="none"/>
        </w:rPr>
      </w:pPr>
    </w:p>
    <w:p>
      <w:pPr>
        <w:rPr>
          <w:szCs w:val="20"/>
          <w:highlight w:val="none"/>
        </w:rPr>
      </w:pPr>
    </w:p>
    <w:p>
      <w:pPr>
        <w:jc w:val="center"/>
        <w:rPr>
          <w:b/>
          <w:szCs w:val="20"/>
          <w:highlight w:val="none"/>
        </w:rPr>
      </w:pPr>
      <w:r>
        <w:rPr>
          <w:b/>
          <w:szCs w:val="20"/>
          <w:highlight w:val="none"/>
        </w:rPr>
        <w:t>(GRAVADO EM ARQUIVO SEPARADO)</w:t>
      </w:r>
    </w:p>
    <w:p>
      <w:pPr>
        <w:pStyle w:val="21"/>
        <w:rPr>
          <w:szCs w:val="20"/>
          <w:highlight w:val="none"/>
        </w:rPr>
      </w:pPr>
      <w:r>
        <w:rPr>
          <w:szCs w:val="20"/>
          <w:highlight w:val="none"/>
        </w:rPr>
        <w:br w:type="page"/>
      </w:r>
      <w:bookmarkStart w:id="77" w:name="_Ref450206111"/>
      <w:bookmarkStart w:id="78" w:name="_Ref78987734"/>
      <w:bookmarkStart w:id="79" w:name="_Ref450206154"/>
      <w:r>
        <w:rPr>
          <w:szCs w:val="20"/>
          <w:highlight w:val="none"/>
        </w:rPr>
        <w:t xml:space="preserve">Anexo </w:t>
      </w:r>
      <w:bookmarkEnd w:id="77"/>
      <w:r>
        <w:rPr>
          <w:szCs w:val="20"/>
          <w:highlight w:val="none"/>
        </w:rPr>
        <w:fldChar w:fldCharType="begin"/>
      </w:r>
      <w:r>
        <w:rPr>
          <w:szCs w:val="20"/>
          <w:highlight w:val="none"/>
        </w:rPr>
        <w:instrText xml:space="preserve"> SEQ Anexo \* ROMAN </w:instrText>
      </w:r>
      <w:r>
        <w:rPr>
          <w:szCs w:val="20"/>
          <w:highlight w:val="none"/>
        </w:rPr>
        <w:fldChar w:fldCharType="separate"/>
      </w:r>
      <w:r>
        <w:rPr>
          <w:szCs w:val="20"/>
          <w:highlight w:val="none"/>
        </w:rPr>
        <w:t>VI</w:t>
      </w:r>
      <w:r>
        <w:rPr>
          <w:szCs w:val="20"/>
          <w:highlight w:val="none"/>
        </w:rPr>
        <w:fldChar w:fldCharType="end"/>
      </w:r>
      <w:bookmarkEnd w:id="78"/>
      <w:r>
        <w:rPr>
          <w:szCs w:val="20"/>
          <w:highlight w:val="none"/>
        </w:rPr>
        <w:t>: Manual de Uso da Marca do Governo</w:t>
      </w:r>
      <w:bookmarkEnd w:id="79"/>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jc w:val="center"/>
        <w:rPr>
          <w:b/>
          <w:szCs w:val="20"/>
          <w:highlight w:val="none"/>
        </w:rPr>
      </w:pPr>
      <w:r>
        <w:rPr>
          <w:b/>
          <w:szCs w:val="20"/>
          <w:highlight w:val="none"/>
        </w:rPr>
        <w:t>Manual de Uso da Marca do Governo Federal</w:t>
      </w:r>
    </w:p>
    <w:p>
      <w:pPr>
        <w:jc w:val="center"/>
        <w:rPr>
          <w:b/>
          <w:szCs w:val="20"/>
          <w:highlight w:val="none"/>
        </w:rPr>
      </w:pPr>
      <w:r>
        <w:rPr>
          <w:b/>
          <w:szCs w:val="20"/>
          <w:highlight w:val="none"/>
        </w:rPr>
        <w:t>Obras (Modelo de Placas Codevasf)</w:t>
      </w:r>
    </w:p>
    <w:p>
      <w:pPr>
        <w:rPr>
          <w:szCs w:val="20"/>
          <w:highlight w:val="none"/>
        </w:rPr>
      </w:pPr>
    </w:p>
    <w:p>
      <w:pPr>
        <w:rPr>
          <w:szCs w:val="20"/>
          <w:highlight w:val="none"/>
        </w:rPr>
      </w:pPr>
    </w:p>
    <w:p>
      <w:pPr>
        <w:jc w:val="center"/>
        <w:rPr>
          <w:b/>
          <w:szCs w:val="20"/>
          <w:highlight w:val="none"/>
        </w:rPr>
      </w:pPr>
      <w:r>
        <w:rPr>
          <w:b/>
          <w:szCs w:val="20"/>
          <w:highlight w:val="none"/>
        </w:rPr>
        <w:t>(GRAVADO EM ARQUIVO SEPARADO)</w:t>
      </w:r>
    </w:p>
    <w:p>
      <w:pPr>
        <w:pStyle w:val="21"/>
        <w:rPr>
          <w:szCs w:val="20"/>
          <w:highlight w:val="none"/>
        </w:rPr>
      </w:pPr>
      <w:r>
        <w:rPr>
          <w:szCs w:val="20"/>
          <w:highlight w:val="none"/>
        </w:rPr>
        <w:br w:type="page"/>
      </w:r>
    </w:p>
    <w:p>
      <w:pPr>
        <w:pStyle w:val="21"/>
        <w:rPr>
          <w:szCs w:val="20"/>
          <w:highlight w:val="none"/>
        </w:rPr>
      </w:pPr>
      <w:bookmarkStart w:id="80" w:name="_Ref73033035"/>
      <w:bookmarkStart w:id="81" w:name="_Ref73032975"/>
      <w:bookmarkStart w:id="82" w:name="_Ref78986752"/>
      <w:r>
        <w:rPr>
          <w:szCs w:val="20"/>
          <w:highlight w:val="none"/>
        </w:rPr>
        <w:t xml:space="preserve">Anexo </w:t>
      </w:r>
      <w:r>
        <w:rPr>
          <w:szCs w:val="20"/>
          <w:highlight w:val="none"/>
        </w:rPr>
        <w:fldChar w:fldCharType="begin"/>
      </w:r>
      <w:r>
        <w:rPr>
          <w:szCs w:val="20"/>
          <w:highlight w:val="none"/>
        </w:rPr>
        <w:instrText xml:space="preserve"> SEQ Anexo \* ROMAN </w:instrText>
      </w:r>
      <w:r>
        <w:rPr>
          <w:szCs w:val="20"/>
          <w:highlight w:val="none"/>
        </w:rPr>
        <w:fldChar w:fldCharType="separate"/>
      </w:r>
      <w:r>
        <w:rPr>
          <w:szCs w:val="20"/>
          <w:highlight w:val="none"/>
        </w:rPr>
        <w:t>VII</w:t>
      </w:r>
      <w:r>
        <w:rPr>
          <w:szCs w:val="20"/>
          <w:highlight w:val="none"/>
        </w:rPr>
        <w:fldChar w:fldCharType="end"/>
      </w:r>
      <w:bookmarkEnd w:id="80"/>
      <w:r>
        <w:rPr>
          <w:szCs w:val="20"/>
          <w:highlight w:val="none"/>
        </w:rPr>
        <w:t xml:space="preserve">: Matriz de </w:t>
      </w:r>
      <w:bookmarkEnd w:id="81"/>
      <w:r>
        <w:rPr>
          <w:szCs w:val="20"/>
          <w:highlight w:val="none"/>
        </w:rPr>
        <w:t>Risco</w:t>
      </w:r>
      <w:bookmarkEnd w:id="82"/>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rPr>
          <w:szCs w:val="20"/>
          <w:highlight w:val="none"/>
        </w:rPr>
      </w:pPr>
    </w:p>
    <w:p>
      <w:pPr>
        <w:jc w:val="center"/>
        <w:rPr>
          <w:b/>
          <w:szCs w:val="20"/>
          <w:highlight w:val="none"/>
        </w:rPr>
      </w:pPr>
      <w:r>
        <w:rPr>
          <w:b/>
          <w:szCs w:val="20"/>
          <w:highlight w:val="none"/>
        </w:rPr>
        <w:t>MATRIZ DE RISCO</w:t>
      </w:r>
    </w:p>
    <w:p>
      <w:pPr>
        <w:rPr>
          <w:szCs w:val="20"/>
          <w:highlight w:val="none"/>
        </w:rPr>
      </w:pPr>
    </w:p>
    <w:p>
      <w:pPr>
        <w:rPr>
          <w:szCs w:val="20"/>
          <w:highlight w:val="none"/>
        </w:rPr>
      </w:pPr>
    </w:p>
    <w:p>
      <w:pPr>
        <w:rPr>
          <w:szCs w:val="20"/>
          <w:highlight w:val="none"/>
        </w:rPr>
      </w:pPr>
    </w:p>
    <w:p>
      <w:pPr>
        <w:spacing w:before="240" w:after="240"/>
        <w:rPr>
          <w:color w:val="00000A"/>
          <w:szCs w:val="20"/>
          <w:highlight w:val="none"/>
        </w:rPr>
      </w:pPr>
    </w:p>
    <w:p>
      <w:pPr>
        <w:spacing w:before="240" w:after="240"/>
        <w:rPr>
          <w:color w:val="00000A"/>
          <w:szCs w:val="20"/>
          <w:highlight w:val="none"/>
        </w:rPr>
      </w:pPr>
    </w:p>
    <w:p>
      <w:pPr>
        <w:spacing w:before="240" w:after="240"/>
        <w:jc w:val="center"/>
        <w:rPr>
          <w:b/>
          <w:color w:val="00000A"/>
          <w:szCs w:val="20"/>
          <w:highlight w:val="none"/>
        </w:rPr>
        <w:sectPr>
          <w:headerReference r:id="rId4" w:type="first"/>
          <w:headerReference r:id="rId3" w:type="default"/>
          <w:footerReference r:id="rId5" w:type="default"/>
          <w:pgSz w:w="11906" w:h="16838"/>
          <w:pgMar w:top="1760" w:right="902" w:bottom="1418" w:left="1418" w:header="1704" w:footer="720" w:gutter="0"/>
          <w:pgBorders w:offsetFrom="page">
            <w:top w:val="single" w:color="000000" w:sz="4" w:space="26"/>
            <w:left w:val="single" w:color="000000" w:sz="4" w:space="24"/>
            <w:bottom w:val="single" w:color="000000" w:sz="4" w:space="31"/>
            <w:right w:val="single" w:color="000000" w:sz="4" w:space="24"/>
          </w:pgBorders>
          <w:cols w:space="720" w:num="1"/>
          <w:titlePg/>
          <w:docGrid w:linePitch="272" w:charSpace="0"/>
        </w:sectPr>
      </w:pPr>
    </w:p>
    <w:p>
      <w:pPr>
        <w:spacing w:before="240" w:after="240"/>
        <w:jc w:val="center"/>
        <w:rPr>
          <w:b/>
          <w:color w:val="00000A"/>
          <w:szCs w:val="20"/>
          <w:highlight w:val="none"/>
        </w:rPr>
      </w:pPr>
      <w:r>
        <w:rPr>
          <w:b/>
          <w:color w:val="00000A"/>
          <w:szCs w:val="20"/>
          <w:highlight w:val="none"/>
        </w:rPr>
        <w:t>ANEXO VII</w:t>
      </w:r>
    </w:p>
    <w:tbl>
      <w:tblPr>
        <w:tblStyle w:val="30"/>
        <w:tblW w:w="14610" w:type="dxa"/>
        <w:tblInd w:w="0" w:type="dxa"/>
        <w:shd w:val="clear" w:color="auto" w:fill="auto"/>
        <w:tblLayout w:type="fixed"/>
        <w:tblCellMar>
          <w:top w:w="0" w:type="dxa"/>
          <w:left w:w="0" w:type="dxa"/>
          <w:bottom w:w="0" w:type="dxa"/>
          <w:right w:w="0" w:type="dxa"/>
        </w:tblCellMar>
      </w:tblPr>
      <w:tblGrid>
        <w:gridCol w:w="11780"/>
        <w:gridCol w:w="2830"/>
      </w:tblGrid>
      <w:tr>
        <w:tblPrEx>
          <w:shd w:val="clear" w:color="auto" w:fill="auto"/>
          <w:tblLayout w:type="fixed"/>
          <w:tblCellMar>
            <w:top w:w="0" w:type="dxa"/>
            <w:left w:w="0" w:type="dxa"/>
            <w:bottom w:w="0" w:type="dxa"/>
            <w:right w:w="0" w:type="dxa"/>
          </w:tblCellMar>
        </w:tblPrEx>
        <w:trPr>
          <w:trHeight w:val="300" w:hRule="atLeast"/>
        </w:trPr>
        <w:tc>
          <w:tcPr>
            <w:tcW w:w="14610" w:type="dxa"/>
            <w:gridSpan w:val="2"/>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bottom"/>
          </w:tcPr>
          <w:p>
            <w:pPr>
              <w:keepNext w:val="0"/>
              <w:keepLines w:val="0"/>
              <w:widowControl/>
              <w:suppressLineNumbers w:val="0"/>
              <w:jc w:val="center"/>
              <w:textAlignment w:val="bottom"/>
              <w:rPr>
                <w:rFonts w:ascii="Calibri" w:hAnsi="Calibri" w:cs="Calibri"/>
                <w:b/>
                <w:i w:val="0"/>
                <w:color w:val="000000"/>
                <w:highlight w:val="none"/>
                <w:u w:val="none"/>
              </w:rPr>
            </w:pPr>
            <w:r>
              <w:rPr>
                <w:rFonts w:hint="default" w:ascii="Calibri" w:hAnsi="Calibri" w:eastAsia="SimSun" w:cs="Calibri"/>
                <w:b/>
                <w:i w:val="0"/>
                <w:color w:val="000000"/>
                <w:kern w:val="0"/>
                <w:sz w:val="24"/>
                <w:szCs w:val="24"/>
                <w:highlight w:val="none"/>
                <w:u w:val="none"/>
                <w:lang w:val="en-US" w:eastAsia="zh-CN" w:bidi="ar"/>
              </w:rPr>
              <w:t>MATRIZ DE RISCO</w:t>
            </w:r>
          </w:p>
        </w:tc>
      </w:tr>
      <w:tr>
        <w:tblPrEx>
          <w:shd w:val="clear" w:color="auto" w:fill="auto"/>
          <w:tblLayout w:type="fixed"/>
          <w:tblCellMar>
            <w:top w:w="0" w:type="dxa"/>
            <w:left w:w="0" w:type="dxa"/>
            <w:bottom w:w="0" w:type="dxa"/>
            <w:right w:w="0" w:type="dxa"/>
          </w:tblCellMar>
        </w:tblPrEx>
        <w:trPr>
          <w:trHeight w:val="30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bottom"/>
          </w:tcPr>
          <w:p>
            <w:pPr>
              <w:keepNext w:val="0"/>
              <w:keepLines w:val="0"/>
              <w:widowControl/>
              <w:suppressLineNumbers w:val="0"/>
              <w:jc w:val="center"/>
              <w:textAlignment w:val="bottom"/>
              <w:rPr>
                <w:rFonts w:hint="default" w:ascii="Calibri" w:hAnsi="Calibri" w:cs="Calibri"/>
                <w:b/>
                <w:i w:val="0"/>
                <w:color w:val="000000"/>
                <w:highlight w:val="none"/>
                <w:u w:val="none"/>
              </w:rPr>
            </w:pPr>
            <w:r>
              <w:rPr>
                <w:rFonts w:hint="default" w:ascii="Calibri" w:hAnsi="Calibri" w:eastAsia="SimSun" w:cs="Calibri"/>
                <w:b/>
                <w:i w:val="0"/>
                <w:color w:val="000000"/>
                <w:kern w:val="0"/>
                <w:sz w:val="24"/>
                <w:szCs w:val="24"/>
                <w:highlight w:val="none"/>
                <w:u w:val="none"/>
                <w:lang w:val="en-US" w:eastAsia="zh-CN" w:bidi="ar"/>
              </w:rPr>
              <w:t>Risco</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bottom"/>
          </w:tcPr>
          <w:p>
            <w:pPr>
              <w:keepNext w:val="0"/>
              <w:keepLines w:val="0"/>
              <w:widowControl/>
              <w:suppressLineNumbers w:val="0"/>
              <w:jc w:val="center"/>
              <w:textAlignment w:val="bottom"/>
              <w:rPr>
                <w:rFonts w:hint="default" w:ascii="Calibri" w:hAnsi="Calibri" w:cs="Calibri"/>
                <w:b/>
                <w:i w:val="0"/>
                <w:color w:val="000000"/>
                <w:highlight w:val="none"/>
                <w:u w:val="none"/>
              </w:rPr>
            </w:pPr>
            <w:r>
              <w:rPr>
                <w:rFonts w:hint="default" w:ascii="Calibri" w:hAnsi="Calibri" w:eastAsia="SimSun" w:cs="Calibri"/>
                <w:b/>
                <w:i w:val="0"/>
                <w:color w:val="000000"/>
                <w:kern w:val="0"/>
                <w:sz w:val="24"/>
                <w:szCs w:val="24"/>
                <w:highlight w:val="none"/>
                <w:u w:val="none"/>
                <w:lang w:val="en-US" w:eastAsia="zh-CN" w:bidi="ar"/>
              </w:rPr>
              <w:t>Alocação (Codevasf ou Contratada)</w:t>
            </w:r>
          </w:p>
        </w:tc>
      </w:tr>
      <w:tr>
        <w:tblPrEx>
          <w:shd w:val="clear" w:color="auto" w:fill="auto"/>
          <w:tblLayout w:type="fixed"/>
          <w:tblCellMar>
            <w:top w:w="0" w:type="dxa"/>
            <w:left w:w="0" w:type="dxa"/>
            <w:bottom w:w="0" w:type="dxa"/>
            <w:right w:w="0" w:type="dxa"/>
          </w:tblCellMar>
        </w:tblPrEx>
        <w:trPr>
          <w:trHeight w:val="62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Ocorrência de greves ou manifestações de empregados da própria contratante que possam ser consideradas com o fato da administração</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Codevasf</w:t>
            </w:r>
          </w:p>
        </w:tc>
      </w:tr>
      <w:tr>
        <w:tblPrEx>
          <w:shd w:val="clear" w:color="auto" w:fill="auto"/>
          <w:tblLayout w:type="fixed"/>
          <w:tblCellMar>
            <w:top w:w="0" w:type="dxa"/>
            <w:left w:w="0" w:type="dxa"/>
            <w:bottom w:w="0" w:type="dxa"/>
            <w:right w:w="0" w:type="dxa"/>
          </w:tblCellMar>
        </w:tblPrEx>
        <w:trPr>
          <w:trHeight w:val="30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Ocorrência de greves ou manifestações de empregados da contratada ou subcontratadas</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Contratada</w:t>
            </w:r>
          </w:p>
        </w:tc>
      </w:tr>
      <w:tr>
        <w:tblPrEx>
          <w:shd w:val="clear" w:color="auto" w:fill="auto"/>
          <w:tblLayout w:type="fixed"/>
          <w:tblCellMar>
            <w:top w:w="0" w:type="dxa"/>
            <w:left w:w="0" w:type="dxa"/>
            <w:bottom w:w="0" w:type="dxa"/>
            <w:right w:w="0" w:type="dxa"/>
          </w:tblCellMar>
        </w:tblPrEx>
        <w:trPr>
          <w:trHeight w:val="62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Ocorrência de greves ou manifestações de empregados de terceiros que possam interferir no andamento das obras/serviços.</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Codevasf</w:t>
            </w:r>
          </w:p>
        </w:tc>
      </w:tr>
      <w:tr>
        <w:tblPrEx>
          <w:tblLayout w:type="fixed"/>
          <w:tblCellMar>
            <w:top w:w="0" w:type="dxa"/>
            <w:left w:w="0" w:type="dxa"/>
            <w:bottom w:w="0" w:type="dxa"/>
            <w:right w:w="0" w:type="dxa"/>
          </w:tblCellMar>
        </w:tblPrEx>
        <w:trPr>
          <w:trHeight w:val="62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Mudanças tributárias alterando os custos das obras/serviços, exceto alterações do imposto de renda e da contribuição social sobre o lucro líquido.</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Codevasf</w:t>
            </w:r>
          </w:p>
        </w:tc>
      </w:tr>
      <w:tr>
        <w:tblPrEx>
          <w:shd w:val="clear" w:color="auto" w:fill="auto"/>
          <w:tblLayout w:type="fixed"/>
          <w:tblCellMar>
            <w:top w:w="0" w:type="dxa"/>
            <w:left w:w="0" w:type="dxa"/>
            <w:bottom w:w="0" w:type="dxa"/>
            <w:right w:w="0" w:type="dxa"/>
          </w:tblCellMar>
        </w:tblPrEx>
        <w:trPr>
          <w:trHeight w:val="9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Mudanças tributárias alterando alíquotas do imposto de renda e da contribuição social sobre o lucro líquido.</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Contratada</w:t>
            </w:r>
          </w:p>
        </w:tc>
      </w:tr>
      <w:tr>
        <w:tblPrEx>
          <w:tblLayout w:type="fixed"/>
          <w:tblCellMar>
            <w:top w:w="0" w:type="dxa"/>
            <w:left w:w="0" w:type="dxa"/>
            <w:bottom w:w="0" w:type="dxa"/>
            <w:right w:w="0" w:type="dxa"/>
          </w:tblCellMar>
        </w:tblPrEx>
        <w:trPr>
          <w:trHeight w:val="62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Aumentos nos custos com salários e materiais de construção não decorrentes de alterações tributárias ou políticas públicas, ensejando aumentos de custos superiores aos índices de reajuste contratual.</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Contratada</w:t>
            </w:r>
          </w:p>
        </w:tc>
      </w:tr>
      <w:tr>
        <w:tblPrEx>
          <w:shd w:val="clear" w:color="auto" w:fill="auto"/>
          <w:tblLayout w:type="fixed"/>
          <w:tblCellMar>
            <w:top w:w="0" w:type="dxa"/>
            <w:left w:w="0" w:type="dxa"/>
            <w:bottom w:w="0" w:type="dxa"/>
            <w:right w:w="0" w:type="dxa"/>
          </w:tblCellMar>
        </w:tblPrEx>
        <w:trPr>
          <w:trHeight w:val="30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Variações nas taxas de câmbio ou juros</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Contratada</w:t>
            </w:r>
          </w:p>
        </w:tc>
      </w:tr>
      <w:tr>
        <w:tblPrEx>
          <w:shd w:val="clear" w:color="auto" w:fill="auto"/>
          <w:tblLayout w:type="fixed"/>
          <w:tblCellMar>
            <w:top w:w="0" w:type="dxa"/>
            <w:left w:w="0" w:type="dxa"/>
            <w:bottom w:w="0" w:type="dxa"/>
            <w:right w:w="0" w:type="dxa"/>
          </w:tblCellMar>
        </w:tblPrEx>
        <w:trPr>
          <w:trHeight w:val="9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Erro na estimativa de custos das obras/serviços, inclusive os decorrentes de omissão de de serviços no orçamento e de previsões insuficientes de quantitativos, ou ainda, previsão de preços unitários que não correspondam aos de mercado</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Contratada</w:t>
            </w:r>
          </w:p>
        </w:tc>
      </w:tr>
      <w:tr>
        <w:tblPrEx>
          <w:shd w:val="clear" w:color="auto" w:fill="auto"/>
          <w:tblLayout w:type="fixed"/>
          <w:tblCellMar>
            <w:top w:w="0" w:type="dxa"/>
            <w:left w:w="0" w:type="dxa"/>
            <w:bottom w:w="0" w:type="dxa"/>
            <w:right w:w="0" w:type="dxa"/>
          </w:tblCellMar>
        </w:tblPrEx>
        <w:trPr>
          <w:trHeight w:val="62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Atraso e alteração dos custos das obras/serviços (exceto dos custos de transporte) devido a descobertas arqueológicas ou outras interferências com patrimônio cultural.</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Codevasf</w:t>
            </w:r>
          </w:p>
        </w:tc>
      </w:tr>
      <w:tr>
        <w:tblPrEx>
          <w:shd w:val="clear" w:color="auto" w:fill="auto"/>
          <w:tblLayout w:type="fixed"/>
          <w:tblCellMar>
            <w:top w:w="0" w:type="dxa"/>
            <w:left w:w="0" w:type="dxa"/>
            <w:bottom w:w="0" w:type="dxa"/>
            <w:right w:w="0" w:type="dxa"/>
          </w:tblCellMar>
        </w:tblPrEx>
        <w:trPr>
          <w:trHeight w:val="30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Erros nos projetos ou detalhamentos elaborados pela Contratada</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Contratada</w:t>
            </w:r>
          </w:p>
        </w:tc>
      </w:tr>
      <w:tr>
        <w:tblPrEx>
          <w:shd w:val="clear" w:color="auto" w:fill="auto"/>
          <w:tblLayout w:type="fixed"/>
          <w:tblCellMar>
            <w:top w:w="0" w:type="dxa"/>
            <w:left w:w="0" w:type="dxa"/>
            <w:bottom w:w="0" w:type="dxa"/>
            <w:right w:w="0" w:type="dxa"/>
          </w:tblCellMar>
        </w:tblPrEx>
        <w:trPr>
          <w:trHeight w:val="30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Erro na estimativa de prazo da obra.</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Contratada</w:t>
            </w:r>
          </w:p>
        </w:tc>
      </w:tr>
      <w:tr>
        <w:tblPrEx>
          <w:tblLayout w:type="fixed"/>
          <w:tblCellMar>
            <w:top w:w="0" w:type="dxa"/>
            <w:left w:w="0" w:type="dxa"/>
            <w:bottom w:w="0" w:type="dxa"/>
            <w:right w:w="0" w:type="dxa"/>
          </w:tblCellMar>
        </w:tblPrEx>
        <w:trPr>
          <w:trHeight w:val="94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Modificações no projeto básico decorrente de determinações de outras entidades públicas (prefeitura, corpo de bombeiros, etc.), desde que tais modificações não decorram de erros ou inconformidades cometidas pela própria Contratada.</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Codevasf</w:t>
            </w:r>
          </w:p>
        </w:tc>
      </w:tr>
      <w:tr>
        <w:tblPrEx>
          <w:shd w:val="clear" w:color="auto" w:fill="auto"/>
          <w:tblLayout w:type="fixed"/>
          <w:tblCellMar>
            <w:top w:w="0" w:type="dxa"/>
            <w:left w:w="0" w:type="dxa"/>
            <w:bottom w:w="0" w:type="dxa"/>
            <w:right w:w="0" w:type="dxa"/>
          </w:tblCellMar>
        </w:tblPrEx>
        <w:trPr>
          <w:trHeight w:val="62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Atraso na conclusão das obras/serviços ocasionado por paralisação (Lockdown) da cidade, região ou estado onde os mesmos estiverem sendo prestados.</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Codevasf</w:t>
            </w:r>
          </w:p>
        </w:tc>
      </w:tr>
      <w:tr>
        <w:tblPrEx>
          <w:shd w:val="clear" w:color="auto" w:fill="auto"/>
          <w:tblLayout w:type="fixed"/>
          <w:tblCellMar>
            <w:top w:w="0" w:type="dxa"/>
            <w:left w:w="0" w:type="dxa"/>
            <w:bottom w:w="0" w:type="dxa"/>
            <w:right w:w="0" w:type="dxa"/>
          </w:tblCellMar>
        </w:tblPrEx>
        <w:trPr>
          <w:trHeight w:val="62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Atraso no início das obras/serviços por demora ou não obtenção da licença ambiental por culpa da contratante ou de terceiros</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Codevasf</w:t>
            </w:r>
          </w:p>
        </w:tc>
      </w:tr>
      <w:tr>
        <w:tblPrEx>
          <w:shd w:val="clear" w:color="auto" w:fill="auto"/>
          <w:tblLayout w:type="fixed"/>
          <w:tblCellMar>
            <w:top w:w="0" w:type="dxa"/>
            <w:left w:w="0" w:type="dxa"/>
            <w:bottom w:w="0" w:type="dxa"/>
            <w:right w:w="0" w:type="dxa"/>
          </w:tblCellMar>
        </w:tblPrEx>
        <w:trPr>
          <w:trHeight w:val="62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Aumento ou diminuição das distâncias de transporte ou alteração no valor dos fretes dos produtos, bem como nos royalties</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Contratada</w:t>
            </w:r>
          </w:p>
        </w:tc>
      </w:tr>
      <w:tr>
        <w:tblPrEx>
          <w:shd w:val="clear" w:color="auto" w:fill="auto"/>
          <w:tblLayout w:type="fixed"/>
          <w:tblCellMar>
            <w:top w:w="0" w:type="dxa"/>
            <w:left w:w="0" w:type="dxa"/>
            <w:bottom w:w="0" w:type="dxa"/>
            <w:right w:w="0" w:type="dxa"/>
          </w:tblCellMar>
        </w:tblPrEx>
        <w:trPr>
          <w:trHeight w:val="30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Aumento ou diminuição das velocidades de transporte</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Contratada</w:t>
            </w:r>
          </w:p>
        </w:tc>
      </w:tr>
      <w:tr>
        <w:tblPrEx>
          <w:shd w:val="clear" w:color="auto" w:fill="auto"/>
          <w:tblLayout w:type="fixed"/>
          <w:tblCellMar>
            <w:top w:w="0" w:type="dxa"/>
            <w:left w:w="0" w:type="dxa"/>
            <w:bottom w:w="0" w:type="dxa"/>
            <w:right w:w="0" w:type="dxa"/>
          </w:tblCellMar>
        </w:tblPrEx>
        <w:trPr>
          <w:trHeight w:val="30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Detecção de nível de lençol freático diverso do previsto</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Contratada</w:t>
            </w:r>
          </w:p>
        </w:tc>
      </w:tr>
      <w:tr>
        <w:tblPrEx>
          <w:shd w:val="clear" w:color="auto" w:fill="auto"/>
          <w:tblLayout w:type="fixed"/>
          <w:tblCellMar>
            <w:top w:w="0" w:type="dxa"/>
            <w:left w:w="0" w:type="dxa"/>
            <w:bottom w:w="0" w:type="dxa"/>
            <w:right w:w="0" w:type="dxa"/>
          </w:tblCellMar>
        </w:tblPrEx>
        <w:trPr>
          <w:trHeight w:val="111"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Acidentes causados por queda de objetos ou de trabalhadores na obra ou desmoronamento das estruturas da obra.</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Contratada</w:t>
            </w:r>
          </w:p>
        </w:tc>
      </w:tr>
      <w:tr>
        <w:tblPrEx>
          <w:shd w:val="clear" w:color="auto" w:fill="auto"/>
          <w:tblLayout w:type="fixed"/>
          <w:tblCellMar>
            <w:top w:w="0" w:type="dxa"/>
            <w:left w:w="0" w:type="dxa"/>
            <w:bottom w:w="0" w:type="dxa"/>
            <w:right w:w="0" w:type="dxa"/>
          </w:tblCellMar>
        </w:tblPrEx>
        <w:trPr>
          <w:trHeight w:val="62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Ocorrência</w:t>
            </w:r>
            <w:r>
              <w:rPr>
                <w:rFonts w:hint="default" w:ascii="Calibri" w:hAnsi="Calibri" w:eastAsia="SimSun" w:cs="Calibri"/>
                <w:i w:val="0"/>
                <w:color w:val="000000"/>
                <w:kern w:val="0"/>
                <w:sz w:val="24"/>
                <w:szCs w:val="24"/>
                <w:highlight w:val="none"/>
                <w:u w:val="none"/>
                <w:lang w:val="pt-BR" w:eastAsia="zh-CN" w:bidi="ar"/>
              </w:rPr>
              <w:t xml:space="preserve"> </w:t>
            </w:r>
            <w:r>
              <w:rPr>
                <w:rFonts w:hint="default" w:ascii="Calibri" w:hAnsi="Calibri" w:eastAsia="SimSun" w:cs="Calibri"/>
                <w:i w:val="0"/>
                <w:color w:val="000000"/>
                <w:kern w:val="0"/>
                <w:sz w:val="24"/>
                <w:szCs w:val="24"/>
                <w:highlight w:val="none"/>
                <w:u w:val="none"/>
                <w:lang w:val="en-US" w:eastAsia="zh-CN" w:bidi="ar"/>
              </w:rPr>
              <w:t>de quaisquer outros eventos na construção que impeçam o cumprimento do prazo ou que aumentem os custos, devido à fatos imputáveis à contratada ou subcontratadas.</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Contratada</w:t>
            </w:r>
          </w:p>
        </w:tc>
      </w:tr>
      <w:tr>
        <w:tblPrEx>
          <w:shd w:val="clear" w:color="auto" w:fill="auto"/>
          <w:tblLayout w:type="fixed"/>
          <w:tblCellMar>
            <w:top w:w="0" w:type="dxa"/>
            <w:left w:w="0" w:type="dxa"/>
            <w:bottom w:w="0" w:type="dxa"/>
            <w:right w:w="0" w:type="dxa"/>
          </w:tblCellMar>
        </w:tblPrEx>
        <w:trPr>
          <w:trHeight w:val="30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Problemas nos serviços de transporte associados à interrupção ou desvio do trânsito.</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Contratada</w:t>
            </w:r>
          </w:p>
        </w:tc>
      </w:tr>
      <w:tr>
        <w:tblPrEx>
          <w:shd w:val="clear" w:color="auto" w:fill="auto"/>
          <w:tblLayout w:type="fixed"/>
          <w:tblCellMar>
            <w:top w:w="0" w:type="dxa"/>
            <w:left w:w="0" w:type="dxa"/>
            <w:bottom w:w="0" w:type="dxa"/>
            <w:right w:w="0" w:type="dxa"/>
          </w:tblCellMar>
        </w:tblPrEx>
        <w:trPr>
          <w:trHeight w:val="30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Obsolescência tecnológica, falta de inovação técnica e deficiência de equipamentos.</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Contratada</w:t>
            </w:r>
          </w:p>
        </w:tc>
      </w:tr>
      <w:tr>
        <w:tblPrEx>
          <w:shd w:val="clear" w:color="auto" w:fill="auto"/>
          <w:tblLayout w:type="fixed"/>
          <w:tblCellMar>
            <w:top w:w="0" w:type="dxa"/>
            <w:left w:w="0" w:type="dxa"/>
            <w:bottom w:w="0" w:type="dxa"/>
            <w:right w:w="0" w:type="dxa"/>
          </w:tblCellMar>
        </w:tblPrEx>
        <w:trPr>
          <w:trHeight w:val="30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Atraso no início das obras/serviços por fatos não imputáveis à contratada</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Codevasf</w:t>
            </w:r>
          </w:p>
        </w:tc>
      </w:tr>
      <w:tr>
        <w:tblPrEx>
          <w:shd w:val="clear" w:color="auto" w:fill="auto"/>
          <w:tblLayout w:type="fixed"/>
          <w:tblCellMar>
            <w:top w:w="0" w:type="dxa"/>
            <w:left w:w="0" w:type="dxa"/>
            <w:bottom w:w="0" w:type="dxa"/>
            <w:right w:w="0" w:type="dxa"/>
          </w:tblCellMar>
        </w:tblPrEx>
        <w:trPr>
          <w:trHeight w:val="30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Roubos e furtos de materiais e equipamentos na obra, canteiros ou durante a execução dos serviços</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Contratada</w:t>
            </w:r>
          </w:p>
        </w:tc>
      </w:tr>
      <w:tr>
        <w:tblPrEx>
          <w:shd w:val="clear" w:color="auto" w:fill="auto"/>
          <w:tblLayout w:type="fixed"/>
          <w:tblCellMar>
            <w:top w:w="0" w:type="dxa"/>
            <w:left w:w="0" w:type="dxa"/>
            <w:bottom w:w="0" w:type="dxa"/>
            <w:right w:w="0" w:type="dxa"/>
          </w:tblCellMar>
        </w:tblPrEx>
        <w:trPr>
          <w:trHeight w:val="30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Acidentes ou quebra de máquinas e veículos.</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Contratada</w:t>
            </w:r>
          </w:p>
        </w:tc>
      </w:tr>
      <w:tr>
        <w:tblPrEx>
          <w:shd w:val="clear" w:color="auto" w:fill="auto"/>
          <w:tblLayout w:type="fixed"/>
          <w:tblCellMar>
            <w:top w:w="0" w:type="dxa"/>
            <w:left w:w="0" w:type="dxa"/>
            <w:bottom w:w="0" w:type="dxa"/>
            <w:right w:w="0" w:type="dxa"/>
          </w:tblCellMar>
        </w:tblPrEx>
        <w:trPr>
          <w:trHeight w:val="30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Perda ou perecimento de materiais de construção.</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Contratada</w:t>
            </w:r>
          </w:p>
        </w:tc>
      </w:tr>
      <w:tr>
        <w:tblPrEx>
          <w:shd w:val="clear" w:color="auto" w:fill="auto"/>
          <w:tblLayout w:type="fixed"/>
          <w:tblCellMar>
            <w:top w:w="0" w:type="dxa"/>
            <w:left w:w="0" w:type="dxa"/>
            <w:bottom w:w="0" w:type="dxa"/>
            <w:right w:w="0" w:type="dxa"/>
          </w:tblCellMar>
        </w:tblPrEx>
        <w:trPr>
          <w:trHeight w:val="62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Atos de vandalismo de empregados da contratada ou de terceiros que causem danos às instalações das obras ou aos equipamentos/materiais mobilizados</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Contratada</w:t>
            </w:r>
          </w:p>
        </w:tc>
      </w:tr>
      <w:tr>
        <w:tblPrEx>
          <w:shd w:val="clear" w:color="auto" w:fill="auto"/>
          <w:tblLayout w:type="fixed"/>
          <w:tblCellMar>
            <w:top w:w="0" w:type="dxa"/>
            <w:left w:w="0" w:type="dxa"/>
            <w:bottom w:w="0" w:type="dxa"/>
            <w:right w:w="0" w:type="dxa"/>
          </w:tblCellMar>
        </w:tblPrEx>
        <w:trPr>
          <w:trHeight w:val="30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Danos causados por acidentes de trabalho ou por segurança inadequada da obra ou do canteiro de obras.</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Contratada</w:t>
            </w:r>
          </w:p>
        </w:tc>
      </w:tr>
      <w:tr>
        <w:tblPrEx>
          <w:shd w:val="clear" w:color="auto" w:fill="auto"/>
          <w:tblLayout w:type="fixed"/>
          <w:tblCellMar>
            <w:top w:w="0" w:type="dxa"/>
            <w:left w:w="0" w:type="dxa"/>
            <w:bottom w:w="0" w:type="dxa"/>
            <w:right w:w="0" w:type="dxa"/>
          </w:tblCellMar>
        </w:tblPrEx>
        <w:trPr>
          <w:trHeight w:val="30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Eventos seguráveis caracterizados como força maior ou caso fortuito.</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Contratada</w:t>
            </w:r>
          </w:p>
        </w:tc>
      </w:tr>
      <w:tr>
        <w:tblPrEx>
          <w:shd w:val="clear" w:color="auto" w:fill="auto"/>
          <w:tblLayout w:type="fixed"/>
          <w:tblCellMar>
            <w:top w:w="0" w:type="dxa"/>
            <w:left w:w="0" w:type="dxa"/>
            <w:bottom w:w="0" w:type="dxa"/>
            <w:right w:w="0" w:type="dxa"/>
          </w:tblCellMar>
        </w:tblPrEx>
        <w:trPr>
          <w:trHeight w:val="30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Eventos não seguráveis caracterizados como força maior ou caso fortuito.</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Codevasf</w:t>
            </w:r>
          </w:p>
        </w:tc>
      </w:tr>
      <w:tr>
        <w:tblPrEx>
          <w:shd w:val="clear" w:color="auto" w:fill="auto"/>
          <w:tblLayout w:type="fixed"/>
          <w:tblCellMar>
            <w:top w:w="0" w:type="dxa"/>
            <w:left w:w="0" w:type="dxa"/>
            <w:bottom w:w="0" w:type="dxa"/>
            <w:right w:w="0" w:type="dxa"/>
          </w:tblCellMar>
        </w:tblPrEx>
        <w:trPr>
          <w:trHeight w:val="30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Gerenciamento e administração inadequada das obras/serviços.</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Contratada</w:t>
            </w:r>
          </w:p>
        </w:tc>
      </w:tr>
      <w:tr>
        <w:tblPrEx>
          <w:shd w:val="clear" w:color="auto" w:fill="auto"/>
          <w:tblLayout w:type="fixed"/>
          <w:tblCellMar>
            <w:top w:w="0" w:type="dxa"/>
            <w:left w:w="0" w:type="dxa"/>
            <w:bottom w:w="0" w:type="dxa"/>
            <w:right w:w="0" w:type="dxa"/>
          </w:tblCellMar>
        </w:tblPrEx>
        <w:trPr>
          <w:trHeight w:val="9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Interposição de ações judiciais contra a contratada e/ou subcontratadas por força da execução das obras/serviços.</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Contratada</w:t>
            </w:r>
          </w:p>
        </w:tc>
      </w:tr>
      <w:tr>
        <w:tblPrEx>
          <w:shd w:val="clear" w:color="auto" w:fill="auto"/>
          <w:tblLayout w:type="fixed"/>
          <w:tblCellMar>
            <w:top w:w="0" w:type="dxa"/>
            <w:left w:w="0" w:type="dxa"/>
            <w:bottom w:w="0" w:type="dxa"/>
            <w:right w:w="0" w:type="dxa"/>
          </w:tblCellMar>
        </w:tblPrEx>
        <w:trPr>
          <w:trHeight w:val="30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Inadimplência dos fornecedores de materiais e equipamentos que compõem o objeto do contrato.</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Contratada</w:t>
            </w:r>
          </w:p>
        </w:tc>
      </w:tr>
      <w:tr>
        <w:tblPrEx>
          <w:tblLayout w:type="fixed"/>
          <w:tblCellMar>
            <w:top w:w="0" w:type="dxa"/>
            <w:left w:w="0" w:type="dxa"/>
            <w:bottom w:w="0" w:type="dxa"/>
            <w:right w:w="0" w:type="dxa"/>
          </w:tblCellMar>
        </w:tblPrEx>
        <w:trPr>
          <w:trHeight w:val="30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Inadimplência ou atraso de pagamentos pela contratante.</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Codevasf</w:t>
            </w:r>
          </w:p>
        </w:tc>
      </w:tr>
      <w:tr>
        <w:tblPrEx>
          <w:shd w:val="clear" w:color="auto" w:fill="auto"/>
          <w:tblLayout w:type="fixed"/>
          <w:tblCellMar>
            <w:top w:w="0" w:type="dxa"/>
            <w:left w:w="0" w:type="dxa"/>
            <w:bottom w:w="0" w:type="dxa"/>
            <w:right w:w="0" w:type="dxa"/>
          </w:tblCellMar>
        </w:tblPrEx>
        <w:trPr>
          <w:trHeight w:val="30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Existência de rochas a serem escavadas com dureza diferente da prevista.</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Contratada</w:t>
            </w:r>
          </w:p>
        </w:tc>
      </w:tr>
      <w:tr>
        <w:tblPrEx>
          <w:shd w:val="clear" w:color="auto" w:fill="auto"/>
          <w:tblLayout w:type="fixed"/>
          <w:tblCellMar>
            <w:top w:w="0" w:type="dxa"/>
            <w:left w:w="0" w:type="dxa"/>
            <w:bottom w:w="0" w:type="dxa"/>
            <w:right w:w="0" w:type="dxa"/>
          </w:tblCellMar>
        </w:tblPrEx>
        <w:trPr>
          <w:trHeight w:val="30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Diferença nos fatores de empolamento ou contração do solo em relação ao estimado.</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Contratada</w:t>
            </w:r>
          </w:p>
        </w:tc>
      </w:tr>
      <w:tr>
        <w:tblPrEx>
          <w:shd w:val="clear" w:color="auto" w:fill="auto"/>
          <w:tblLayout w:type="fixed"/>
          <w:tblCellMar>
            <w:top w:w="0" w:type="dxa"/>
            <w:left w:w="0" w:type="dxa"/>
            <w:bottom w:w="0" w:type="dxa"/>
            <w:right w:w="0" w:type="dxa"/>
          </w:tblCellMar>
        </w:tblPrEx>
        <w:trPr>
          <w:trHeight w:val="30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Alteração do comprimento ou do volume das fundações.</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Contratada</w:t>
            </w:r>
          </w:p>
        </w:tc>
      </w:tr>
      <w:tr>
        <w:tblPrEx>
          <w:shd w:val="clear" w:color="auto" w:fill="auto"/>
          <w:tblLayout w:type="fixed"/>
          <w:tblCellMar>
            <w:top w:w="0" w:type="dxa"/>
            <w:left w:w="0" w:type="dxa"/>
            <w:bottom w:w="0" w:type="dxa"/>
            <w:right w:w="0" w:type="dxa"/>
          </w:tblCellMar>
        </w:tblPrEx>
        <w:trPr>
          <w:trHeight w:val="167"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Detecção de condições geológicas que ensejem a alteração da solução das fundações previstas no projeto básico.</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Codevasf</w:t>
            </w:r>
          </w:p>
        </w:tc>
      </w:tr>
      <w:tr>
        <w:tblPrEx>
          <w:shd w:val="clear" w:color="auto" w:fill="auto"/>
          <w:tblLayout w:type="fixed"/>
          <w:tblCellMar>
            <w:top w:w="0" w:type="dxa"/>
            <w:left w:w="0" w:type="dxa"/>
            <w:bottom w:w="0" w:type="dxa"/>
            <w:right w:w="0" w:type="dxa"/>
          </w:tblCellMar>
        </w:tblPrEx>
        <w:trPr>
          <w:trHeight w:val="300" w:hRule="atLeast"/>
        </w:trPr>
        <w:tc>
          <w:tcPr>
            <w:tcW w:w="11780" w:type="dxa"/>
            <w:tcBorders>
              <w:top w:val="single" w:color="000000" w:sz="2" w:space="0"/>
              <w:left w:val="single" w:color="000000" w:sz="2" w:space="0"/>
              <w:bottom w:val="single" w:color="000000" w:sz="2" w:space="0"/>
              <w:right w:val="single" w:color="000000" w:sz="2" w:space="0"/>
            </w:tcBorders>
            <w:shd w:val="clear" w:color="auto" w:fill="auto"/>
            <w:tcMar>
              <w:top w:w="15" w:type="dxa"/>
              <w:left w:w="15" w:type="dxa"/>
              <w:right w:w="15" w:type="dxa"/>
            </w:tcMar>
            <w:vAlign w:val="bottom"/>
          </w:tcPr>
          <w:p>
            <w:pPr>
              <w:keepNext w:val="0"/>
              <w:keepLines w:val="0"/>
              <w:widowControl/>
              <w:suppressLineNumbers w:val="0"/>
              <w:jc w:val="left"/>
              <w:textAlignment w:val="bottom"/>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Detecção de interferências não indicadas no projeto básico.</w:t>
            </w:r>
          </w:p>
        </w:tc>
        <w:tc>
          <w:tcPr>
            <w:tcW w:w="2830" w:type="dxa"/>
            <w:tcBorders>
              <w:top w:val="single" w:color="000000" w:sz="2" w:space="0"/>
              <w:left w:val="single" w:color="000000" w:sz="2" w:space="0"/>
              <w:bottom w:val="single" w:color="000000" w:sz="2" w:space="0"/>
              <w:right w:val="single" w:color="000000" w:sz="2" w:space="0"/>
            </w:tcBorders>
            <w:shd w:val="clear" w:color="auto" w:fill="auto"/>
            <w:noWrap/>
            <w:tcMar>
              <w:top w:w="15" w:type="dxa"/>
              <w:left w:w="15" w:type="dxa"/>
              <w:right w:w="15" w:type="dxa"/>
            </w:tcMar>
            <w:vAlign w:val="center"/>
          </w:tcPr>
          <w:p>
            <w:pPr>
              <w:keepNext w:val="0"/>
              <w:keepLines w:val="0"/>
              <w:widowControl/>
              <w:suppressLineNumbers w:val="0"/>
              <w:jc w:val="center"/>
              <w:textAlignment w:val="center"/>
              <w:rPr>
                <w:rFonts w:hint="default" w:ascii="Calibri" w:hAnsi="Calibri" w:cs="Calibri"/>
                <w:i w:val="0"/>
                <w:color w:val="000000"/>
                <w:highlight w:val="none"/>
                <w:u w:val="none"/>
              </w:rPr>
            </w:pPr>
            <w:r>
              <w:rPr>
                <w:rFonts w:hint="default" w:ascii="Calibri" w:hAnsi="Calibri" w:eastAsia="SimSun" w:cs="Calibri"/>
                <w:i w:val="0"/>
                <w:color w:val="000000"/>
                <w:kern w:val="0"/>
                <w:sz w:val="24"/>
                <w:szCs w:val="24"/>
                <w:highlight w:val="none"/>
                <w:u w:val="none"/>
                <w:lang w:val="en-US" w:eastAsia="zh-CN" w:bidi="ar"/>
              </w:rPr>
              <w:t>Codevasf</w:t>
            </w:r>
          </w:p>
        </w:tc>
      </w:tr>
    </w:tbl>
    <w:p>
      <w:pPr>
        <w:rPr>
          <w:szCs w:val="20"/>
          <w:highlight w:val="none"/>
        </w:rPr>
      </w:pPr>
    </w:p>
    <w:sectPr>
      <w:headerReference r:id="rId6" w:type="default"/>
      <w:footerReference r:id="rId7" w:type="default"/>
      <w:pgSz w:w="16838" w:h="11906" w:orient="landscape"/>
      <w:pgMar w:top="1701" w:right="1701" w:bottom="1134" w:left="1134" w:header="737" w:footer="851" w:gutter="0"/>
      <w:pgBorders w:offsetFrom="page">
        <w:top w:val="single" w:color="auto" w:sz="4" w:space="24"/>
        <w:left w:val="single" w:color="auto" w:sz="4" w:space="24"/>
        <w:bottom w:val="single" w:color="auto" w:sz="4" w:space="24"/>
        <w:right w:val="single" w:color="auto" w:sz="4" w:space="24"/>
      </w:pgBorders>
      <w:cols w:space="708" w:num="1"/>
      <w:docGrid w:linePitch="360"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altName w:val="SimSun"/>
    <w:panose1 w:val="02010600030101010101"/>
    <w:charset w:val="86"/>
    <w:family w:val="auto"/>
    <w:pitch w:val="variable"/>
    <w:sig w:usb0="00000003" w:usb1="080E0000" w:usb2="00000010" w:usb3="00000000" w:csb0="00040001" w:csb1="00000000"/>
  </w:font>
  <w:font w:name="SimSun">
    <w:panose1 w:val="02010600030101010101"/>
    <w:charset w:val="86"/>
    <w:family w:val="auto"/>
    <w:pitch w:val="default"/>
    <w:sig w:usb0="00000203" w:usb1="288F0000" w:usb2="00000006" w:usb3="00000000" w:csb0="00040001" w:csb1="00000000"/>
  </w:font>
  <w:font w:name="Symbol">
    <w:panose1 w:val="05050102010706020507"/>
    <w:charset w:val="02"/>
    <w:family w:val="roman"/>
    <w:pitch w:val="default"/>
    <w:sig w:usb0="00000000" w:usb1="00000000" w:usb2="00000000" w:usb3="00000000" w:csb0="80000000" w:csb1="00000000"/>
  </w:font>
  <w:font w:name="Arial">
    <w:panose1 w:val="020B0604020202020204"/>
    <w:charset w:val="00"/>
    <w:family w:val="swiss"/>
    <w:pitch w:val="default"/>
    <w:sig w:usb0="E0002EFF" w:usb1="C000785B" w:usb2="00000009" w:usb3="00000000" w:csb0="400001FF" w:csb1="FFFF0000"/>
  </w:font>
  <w:font w:name="Courier New">
    <w:panose1 w:val="02070309020205020404"/>
    <w:charset w:val="00"/>
    <w:family w:val="modern"/>
    <w:pitch w:val="default"/>
    <w:sig w:usb0="E0002EFF" w:usb1="C0007843" w:usb2="00000009" w:usb3="00000000" w:csb0="400001FF" w:csb1="FFFF0000"/>
  </w:font>
  <w:font w:name="SimHei">
    <w:altName w:val="SimSun"/>
    <w:panose1 w:val="02010609060101010101"/>
    <w:charset w:val="86"/>
    <w:family w:val="modern"/>
    <w:pitch w:val="default"/>
    <w:sig w:usb0="800002BF" w:usb1="38CF7CFA" w:usb2="00000016" w:usb3="00000000" w:csb0="00040001" w:csb1="00000000"/>
  </w:font>
  <w:font w:name="Calibri">
    <w:panose1 w:val="020F0502020204030204"/>
    <w:charset w:val="00"/>
    <w:family w:val="swiss"/>
    <w:pitch w:val="default"/>
    <w:sig w:usb0="E4002EFF" w:usb1="C000247B" w:usb2="00000009" w:usb3="00000000" w:csb0="200001FF" w:csb1="00000000"/>
  </w:font>
  <w:font w:name="Cambria">
    <w:panose1 w:val="02040503050406030204"/>
    <w:charset w:val="00"/>
    <w:family w:val="roman"/>
    <w:pitch w:val="default"/>
    <w:sig w:usb0="E00006FF" w:usb1="420024FF" w:usb2="02000000" w:usb3="00000000" w:csb0="2000019F" w:csb1="00000000"/>
  </w:font>
  <w:font w:name="Arial Negrito">
    <w:altName w:val="Cambria"/>
    <w:panose1 w:val="020B0704020202020204"/>
    <w:charset w:val="00"/>
    <w:family w:val="swiss"/>
    <w:pitch w:val="default"/>
    <w:sig w:usb0="00000000" w:usb1="00000000" w:usb2="00000000" w:usb3="00000000" w:csb0="00000001" w:csb1="00000000"/>
  </w:font>
  <w:font w:name="Tahoma">
    <w:panose1 w:val="020B0604030504040204"/>
    <w:charset w:val="00"/>
    <w:family w:val="swiss"/>
    <w:pitch w:val="default"/>
    <w:sig w:usb0="E1002EFF" w:usb1="C000605B" w:usb2="00000029" w:usb3="00000000" w:csb0="200101FF" w:csb1="20280000"/>
  </w:font>
  <w:font w:name="Times New Roman PS">
    <w:altName w:val="Times New Roman"/>
    <w:panose1 w:val="00000000000000000000"/>
    <w:charset w:val="00"/>
    <w:family w:val="roman"/>
    <w:pitch w:val="default"/>
    <w:sig w:usb0="00000000" w:usb1="00000000" w:usb2="00000000" w:usb3="00000000" w:csb0="00000000" w:csb1="00000000"/>
  </w:font>
  <w:font w:name="Arial Unicode MS">
    <w:altName w:val="SimSun"/>
    <w:panose1 w:val="020B0604020202020204"/>
    <w:charset w:val="86"/>
    <w:family w:val="roman"/>
    <w:pitch w:val="default"/>
    <w:sig w:usb0="00000000" w:usb1="00000000" w:usb2="0000003F" w:usb3="00000000" w:csb0="603F01FF" w:csb1="FFFF0000"/>
  </w:font>
  <w:font w:name="Wingdings">
    <w:panose1 w:val="05000000000000000000"/>
    <w:charset w:val="02"/>
    <w:family w:val="auto"/>
    <w:pitch w:val="default"/>
    <w:sig w:usb0="00000000" w:usb1="00000000" w:usb2="00000000" w:usb3="00000000" w:csb0="80000000" w:csb1="00000000"/>
  </w:font>
  <w:font w:name="Cambria Math">
    <w:panose1 w:val="02040503050406030204"/>
    <w:charset w:val="00"/>
    <w:family w:val="roman"/>
    <w:pitch w:val="default"/>
    <w:sig w:usb0="E00006FF" w:usb1="420024FF" w:usb2="02000000" w:usb3="00000000" w:csb0="2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pPr>
      <w:pStyle w:val="20"/>
      <w:jc w:val="right"/>
    </w:pPr>
    <w:r>
      <w:fldChar w:fldCharType="begin"/>
    </w:r>
    <w:r>
      <w:instrText xml:space="preserve"> PAGE </w:instrText>
    </w:r>
    <w:r>
      <w:fldChar w:fldCharType="separate"/>
    </w:r>
    <w:r>
      <w:t>11</w:t>
    </w:r>
    <w: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sdt>
    <w:sdtPr>
      <w:id w:val="-1637938545"/>
    </w:sdtPr>
    <w:sdtContent>
      <w:p>
        <w:pPr>
          <w:pStyle w:val="20"/>
          <w:jc w:val="right"/>
        </w:pPr>
        <w:r>
          <w:fldChar w:fldCharType="begin"/>
        </w:r>
        <w:r>
          <w:instrText xml:space="preserve">PAGE   \* MERGEFORMAT</w:instrText>
        </w:r>
        <w:r>
          <w:fldChar w:fldCharType="separate"/>
        </w:r>
        <w:r>
          <w:t>44</w:t>
        </w:r>
        <w:r>
          <w:fldChar w:fldCharType="end"/>
        </w:r>
      </w:p>
    </w:sdtContent>
  </w:sdt>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30"/>
      <w:tblW w:w="10206" w:type="dxa"/>
      <w:jc w:val="center"/>
      <w:tblInd w:w="0" w:type="dxa"/>
      <w:tblLayout w:type="fixed"/>
      <w:tblCellMar>
        <w:top w:w="0" w:type="dxa"/>
        <w:left w:w="108" w:type="dxa"/>
        <w:bottom w:w="0" w:type="dxa"/>
        <w:right w:w="108" w:type="dxa"/>
      </w:tblCellMar>
    </w:tblPr>
    <w:tblGrid>
      <w:gridCol w:w="2974"/>
      <w:gridCol w:w="7232"/>
    </w:tblGrid>
    <w:tr>
      <w:tblPrEx>
        <w:tblLayout w:type="fixed"/>
        <w:tblCellMar>
          <w:top w:w="0" w:type="dxa"/>
          <w:left w:w="108" w:type="dxa"/>
          <w:bottom w:w="0" w:type="dxa"/>
          <w:right w:w="108" w:type="dxa"/>
        </w:tblCellMar>
      </w:tblPrEx>
      <w:trPr>
        <w:trHeight w:val="113" w:hRule="atLeast"/>
        <w:jc w:val="center"/>
      </w:trPr>
      <w:tc>
        <w:tcPr>
          <w:tcW w:w="2974" w:type="dxa"/>
          <w:shd w:val="clear" w:color="auto" w:fill="auto"/>
          <w:vAlign w:val="center"/>
        </w:tcPr>
        <w:p>
          <w:pPr>
            <w:pStyle w:val="18"/>
            <w:rPr>
              <w:b/>
              <w:sz w:val="28"/>
              <w:szCs w:val="28"/>
            </w:rPr>
          </w:pPr>
          <w:r>
            <w:rPr>
              <w:lang w:eastAsia="pt-BR"/>
            </w:rPr>
            <w:drawing>
              <wp:inline distT="0" distB="0" distL="114300" distR="114300">
                <wp:extent cx="1757045" cy="445135"/>
                <wp:effectExtent l="0" t="0" r="14605" b="12065"/>
                <wp:docPr id="1" name="Imagem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Imagem 1"/>
                        <pic:cNvPicPr>
                          <a:picLocks noChangeAspect="1"/>
                        </pic:cNvPicPr>
                      </pic:nvPicPr>
                      <pic:blipFill>
                        <a:blip r:embed="rId1"/>
                        <a:srcRect l="-35" t="-174" r="-35" b="-174"/>
                        <a:stretch>
                          <a:fillRect/>
                        </a:stretch>
                      </pic:blipFill>
                      <pic:spPr>
                        <a:xfrm>
                          <a:off x="0" y="0"/>
                          <a:ext cx="1757045" cy="445135"/>
                        </a:xfrm>
                        <a:prstGeom prst="rect">
                          <a:avLst/>
                        </a:prstGeom>
                        <a:solidFill>
                          <a:srgbClr val="FFFFFF">
                            <a:alpha val="0"/>
                          </a:srgbClr>
                        </a:solidFill>
                        <a:ln>
                          <a:noFill/>
                        </a:ln>
                      </pic:spPr>
                    </pic:pic>
                  </a:graphicData>
                </a:graphic>
              </wp:inline>
            </w:drawing>
          </w:r>
        </w:p>
      </w:tc>
      <w:tc>
        <w:tcPr>
          <w:tcW w:w="7232" w:type="dxa"/>
          <w:shd w:val="clear" w:color="auto" w:fill="auto"/>
          <w:vAlign w:val="center"/>
        </w:tcPr>
        <w:p>
          <w:pPr>
            <w:pStyle w:val="18"/>
            <w:rPr>
              <w:sz w:val="19"/>
              <w:szCs w:val="19"/>
            </w:rPr>
          </w:pPr>
          <w:r>
            <w:rPr>
              <w:b/>
              <w:sz w:val="19"/>
              <w:szCs w:val="19"/>
            </w:rPr>
            <w:t>Ministério do Desenvolvimento Regional - MDR</w:t>
          </w:r>
        </w:p>
        <w:p>
          <w:pPr>
            <w:pStyle w:val="18"/>
            <w:rPr>
              <w:sz w:val="19"/>
              <w:szCs w:val="19"/>
            </w:rPr>
          </w:pPr>
          <w:r>
            <w:rPr>
              <w:b/>
              <w:sz w:val="19"/>
              <w:szCs w:val="19"/>
            </w:rPr>
            <w:t>Companhia de Desenvolvimento dos Vales do São Francisco e do Parnaíba</w:t>
          </w:r>
        </w:p>
        <w:p>
          <w:pPr>
            <w:pStyle w:val="18"/>
            <w:rPr>
              <w:sz w:val="19"/>
              <w:szCs w:val="19"/>
            </w:rPr>
          </w:pPr>
          <w:r>
            <w:rPr>
              <w:b/>
              <w:sz w:val="19"/>
              <w:szCs w:val="19"/>
            </w:rPr>
            <w:t>2ª Superintendência Regional</w:t>
          </w:r>
        </w:p>
      </w:tc>
    </w:tr>
  </w:tbl>
  <w:p>
    <w:pPr>
      <w:pStyle w:val="18"/>
      <w:rPr>
        <w:b/>
        <w:sz w:val="12"/>
        <w:szCs w:val="12"/>
        <w:lang w:eastAsia="pt-BR"/>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30"/>
      <w:tblW w:w="10206" w:type="dxa"/>
      <w:jc w:val="center"/>
      <w:tblInd w:w="0" w:type="dxa"/>
      <w:tblLayout w:type="fixed"/>
      <w:tblCellMar>
        <w:top w:w="0" w:type="dxa"/>
        <w:left w:w="108" w:type="dxa"/>
        <w:bottom w:w="0" w:type="dxa"/>
        <w:right w:w="108" w:type="dxa"/>
      </w:tblCellMar>
    </w:tblPr>
    <w:tblGrid>
      <w:gridCol w:w="2974"/>
      <w:gridCol w:w="7232"/>
    </w:tblGrid>
    <w:tr>
      <w:tblPrEx>
        <w:tblLayout w:type="fixed"/>
        <w:tblCellMar>
          <w:top w:w="0" w:type="dxa"/>
          <w:left w:w="108" w:type="dxa"/>
          <w:bottom w:w="0" w:type="dxa"/>
          <w:right w:w="108" w:type="dxa"/>
        </w:tblCellMar>
      </w:tblPrEx>
      <w:trPr>
        <w:trHeight w:val="113" w:hRule="atLeast"/>
        <w:jc w:val="center"/>
      </w:trPr>
      <w:tc>
        <w:tcPr>
          <w:tcW w:w="2974" w:type="dxa"/>
          <w:shd w:val="clear" w:color="auto" w:fill="auto"/>
          <w:vAlign w:val="center"/>
        </w:tcPr>
        <w:p>
          <w:pPr>
            <w:pStyle w:val="18"/>
            <w:rPr>
              <w:b/>
              <w:sz w:val="28"/>
              <w:szCs w:val="28"/>
            </w:rPr>
          </w:pPr>
          <w:r>
            <w:rPr>
              <w:lang w:eastAsia="pt-BR"/>
            </w:rPr>
            <w:drawing>
              <wp:inline distT="0" distB="0" distL="114300" distR="114300">
                <wp:extent cx="1757045" cy="454660"/>
                <wp:effectExtent l="0" t="0" r="14605" b="2540"/>
                <wp:docPr id="2"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agem 2"/>
                        <pic:cNvPicPr>
                          <a:picLocks noChangeAspect="1"/>
                        </pic:cNvPicPr>
                      </pic:nvPicPr>
                      <pic:blipFill>
                        <a:blip r:embed="rId1"/>
                        <a:srcRect l="-35" t="-174" r="-35" b="-174"/>
                        <a:stretch>
                          <a:fillRect/>
                        </a:stretch>
                      </pic:blipFill>
                      <pic:spPr>
                        <a:xfrm>
                          <a:off x="0" y="0"/>
                          <a:ext cx="1757045" cy="454660"/>
                        </a:xfrm>
                        <a:prstGeom prst="rect">
                          <a:avLst/>
                        </a:prstGeom>
                        <a:solidFill>
                          <a:srgbClr val="FFFFFF">
                            <a:alpha val="0"/>
                          </a:srgbClr>
                        </a:solidFill>
                        <a:ln>
                          <a:noFill/>
                        </a:ln>
                      </pic:spPr>
                    </pic:pic>
                  </a:graphicData>
                </a:graphic>
              </wp:inline>
            </w:drawing>
          </w:r>
        </w:p>
      </w:tc>
      <w:tc>
        <w:tcPr>
          <w:tcW w:w="7232" w:type="dxa"/>
          <w:shd w:val="clear" w:color="auto" w:fill="auto"/>
          <w:vAlign w:val="center"/>
        </w:tcPr>
        <w:p>
          <w:pPr>
            <w:pStyle w:val="18"/>
            <w:rPr>
              <w:sz w:val="19"/>
              <w:szCs w:val="19"/>
            </w:rPr>
          </w:pPr>
          <w:r>
            <w:rPr>
              <w:b/>
              <w:sz w:val="19"/>
              <w:szCs w:val="19"/>
            </w:rPr>
            <w:t>Ministério do Desenvolvimento Regional - MDR</w:t>
          </w:r>
        </w:p>
        <w:p>
          <w:pPr>
            <w:pStyle w:val="18"/>
            <w:rPr>
              <w:sz w:val="19"/>
              <w:szCs w:val="19"/>
            </w:rPr>
          </w:pPr>
          <w:r>
            <w:rPr>
              <w:b/>
              <w:sz w:val="19"/>
              <w:szCs w:val="19"/>
            </w:rPr>
            <w:t>Companhia de Desenvolvimento dos Vales do São Francisco e do Parnaíba</w:t>
          </w:r>
        </w:p>
        <w:p>
          <w:pPr>
            <w:pStyle w:val="18"/>
          </w:pPr>
          <w:r>
            <w:rPr>
              <w:b/>
              <w:sz w:val="19"/>
              <w:szCs w:val="19"/>
            </w:rPr>
            <w:t>Área de Revitalização das Bacias Hidrográficas</w:t>
          </w:r>
        </w:p>
      </w:tc>
    </w:tr>
  </w:tbl>
  <w:p>
    <w:pPr>
      <w:pStyle w:val="18"/>
      <w:rPr>
        <w:b/>
        <w:sz w:val="28"/>
        <w:szCs w:val="28"/>
        <w:lang w:eastAsia="pt-BR"/>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tbl>
    <w:tblPr>
      <w:tblStyle w:val="31"/>
      <w:tblW w:w="10065" w:type="dxa"/>
      <w:tblInd w:w="-459" w:type="dxa"/>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
    <w:tblGrid>
      <w:gridCol w:w="2552"/>
      <w:gridCol w:w="7513"/>
    </w:tblGrid>
    <w:tr>
      <w:tblPrEx>
        <w:tblBorders>
          <w:top w:val="none" w:color="auto" w:sz="0" w:space="0"/>
          <w:left w:val="none" w:color="auto" w:sz="0" w:space="0"/>
          <w:bottom w:val="none" w:color="auto" w:sz="0" w:space="0"/>
          <w:right w:val="none" w:color="auto" w:sz="0" w:space="0"/>
          <w:insideH w:val="none" w:color="auto" w:sz="0" w:space="0"/>
          <w:insideV w:val="none" w:color="auto" w:sz="0" w:space="0"/>
        </w:tblBorders>
        <w:tblLayout w:type="fixed"/>
        <w:tblCellMar>
          <w:top w:w="0" w:type="dxa"/>
          <w:left w:w="108" w:type="dxa"/>
          <w:bottom w:w="0" w:type="dxa"/>
          <w:right w:w="108" w:type="dxa"/>
        </w:tblCellMar>
      </w:tblPrEx>
      <w:tc>
        <w:tcPr>
          <w:tcW w:w="2552" w:type="dxa"/>
          <w:vAlign w:val="center"/>
        </w:tcPr>
        <w:p>
          <w:pPr>
            <w:pStyle w:val="18"/>
            <w:jc w:val="center"/>
            <w:rPr>
              <w:sz w:val="24"/>
            </w:rPr>
          </w:pPr>
          <w:r>
            <w:rPr>
              <w:lang w:eastAsia="pt-BR"/>
            </w:rPr>
            <w:drawing>
              <wp:inline distT="0" distB="0" distL="0" distR="0">
                <wp:extent cx="1449705" cy="450850"/>
                <wp:effectExtent l="0" t="0" r="0" b="6350"/>
                <wp:docPr id="17" name="Imagem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Imagem 17"/>
                        <pic:cNvPicPr>
                          <a:picLocks noChangeAspect="1"/>
                        </pic:cNvPicPr>
                      </pic:nvPicPr>
                      <pic:blipFill>
                        <a:blip r:embed="rId1">
                          <a:extLst>
                            <a:ext uri="{28A0092B-C50C-407E-A947-70E740481C1C}">
                              <a14:useLocalDpi xmlns:a14="http://schemas.microsoft.com/office/drawing/2010/main" val="0"/>
                            </a:ext>
                          </a:extLst>
                        </a:blip>
                        <a:stretch>
                          <a:fillRect/>
                        </a:stretch>
                      </pic:blipFill>
                      <pic:spPr>
                        <a:xfrm>
                          <a:off x="0" y="0"/>
                          <a:ext cx="1470131" cy="457673"/>
                        </a:xfrm>
                        <a:prstGeom prst="rect">
                          <a:avLst/>
                        </a:prstGeom>
                        <a:ln>
                          <a:noFill/>
                        </a:ln>
                      </pic:spPr>
                    </pic:pic>
                  </a:graphicData>
                </a:graphic>
              </wp:inline>
            </w:drawing>
          </w:r>
        </w:p>
      </w:tc>
      <w:tc>
        <w:tcPr>
          <w:tcW w:w="7513" w:type="dxa"/>
          <w:vAlign w:val="center"/>
        </w:tcPr>
        <w:p>
          <w:pPr>
            <w:pStyle w:val="18"/>
            <w:jc w:val="left"/>
            <w:rPr>
              <w:b/>
              <w:szCs w:val="20"/>
            </w:rPr>
          </w:pPr>
          <w:r>
            <w:rPr>
              <w:b/>
              <w:szCs w:val="20"/>
            </w:rPr>
            <w:t>Ministério do Desenvolvimento Regional</w:t>
          </w:r>
        </w:p>
        <w:p>
          <w:pPr>
            <w:pStyle w:val="18"/>
            <w:jc w:val="left"/>
            <w:rPr>
              <w:b/>
              <w:szCs w:val="20"/>
            </w:rPr>
          </w:pPr>
          <w:r>
            <w:rPr>
              <w:b/>
              <w:szCs w:val="20"/>
            </w:rPr>
            <w:t>Companhia de Desenvolvimento dos Vales do São Francisco e do Parnaíba</w:t>
          </w:r>
        </w:p>
        <w:p>
          <w:pPr>
            <w:pStyle w:val="18"/>
            <w:jc w:val="left"/>
            <w:rPr>
              <w:sz w:val="24"/>
            </w:rPr>
          </w:pPr>
          <w:r>
            <w:rPr>
              <w:b/>
              <w:sz w:val="19"/>
              <w:szCs w:val="19"/>
            </w:rPr>
            <w:t>2ª Superintendência Regional</w:t>
          </w:r>
        </w:p>
      </w:tc>
    </w:tr>
  </w:tbl>
  <w:p>
    <w:pPr>
      <w:pStyle w:val="18"/>
      <w:rPr>
        <w:sz w:val="12"/>
        <w:szCs w:val="12"/>
      </w:rP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B"/>
    <w:multiLevelType w:val="singleLevel"/>
    <w:tmpl w:val="0000000B"/>
    <w:lvl w:ilvl="0" w:tentative="0">
      <w:start w:val="1"/>
      <w:numFmt w:val="lowerLetter"/>
      <w:lvlText w:val="%1)"/>
      <w:lvlJc w:val="left"/>
      <w:pPr>
        <w:tabs>
          <w:tab w:val="left" w:pos="1381"/>
        </w:tabs>
        <w:ind w:left="1381" w:hanging="360"/>
      </w:pPr>
    </w:lvl>
  </w:abstractNum>
  <w:abstractNum w:abstractNumId="1">
    <w:nsid w:val="04B553C5"/>
    <w:multiLevelType w:val="multilevel"/>
    <w:tmpl w:val="04B553C5"/>
    <w:lvl w:ilvl="0" w:tentative="0">
      <w:start w:val="1"/>
      <w:numFmt w:val="lowerLetter"/>
      <w:lvlText w:val="%1)"/>
      <w:lvlJc w:val="left"/>
      <w:pPr>
        <w:ind w:left="720" w:hanging="360"/>
      </w:pPr>
      <w:rPr>
        <w:rFonts w:hint="default" w:ascii="Arial" w:hAnsi="Arial"/>
        <w:b w:val="0"/>
        <w:i w:val="0"/>
        <w:sz w:val="20"/>
        <w:szCs w:val="20"/>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2">
    <w:nsid w:val="04E31EA1"/>
    <w:multiLevelType w:val="multilevel"/>
    <w:tmpl w:val="04E31EA1"/>
    <w:lvl w:ilvl="0" w:tentative="0">
      <w:start w:val="1"/>
      <w:numFmt w:val="decimal"/>
      <w:lvlText w:val="c%1)"/>
      <w:lvlJc w:val="left"/>
      <w:pPr>
        <w:ind w:left="720" w:hanging="360"/>
      </w:pPr>
      <w:rPr>
        <w:rFonts w:hint="default"/>
        <w:b w:val="0"/>
        <w:i w:val="0"/>
        <w:color w:val="auto"/>
        <w:sz w:val="20"/>
        <w:szCs w:val="20"/>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3">
    <w:nsid w:val="05360AEC"/>
    <w:multiLevelType w:val="multilevel"/>
    <w:tmpl w:val="05360AEC"/>
    <w:lvl w:ilvl="0" w:tentative="0">
      <w:start w:val="1"/>
      <w:numFmt w:val="bullet"/>
      <w:lvlText w:val="-"/>
      <w:lvlJc w:val="left"/>
      <w:pPr>
        <w:ind w:left="2161" w:hanging="360"/>
      </w:pPr>
      <w:rPr>
        <w:rFonts w:hint="default" w:ascii="Courier New" w:hAnsi="Courier New"/>
      </w:rPr>
    </w:lvl>
    <w:lvl w:ilvl="1" w:tentative="0">
      <w:start w:val="1"/>
      <w:numFmt w:val="bullet"/>
      <w:lvlText w:val="o"/>
      <w:lvlJc w:val="left"/>
      <w:pPr>
        <w:ind w:left="2881" w:hanging="360"/>
      </w:pPr>
      <w:rPr>
        <w:rFonts w:hint="default" w:ascii="Courier New" w:hAnsi="Courier New" w:cs="Courier New"/>
      </w:rPr>
    </w:lvl>
    <w:lvl w:ilvl="2" w:tentative="0">
      <w:start w:val="1"/>
      <w:numFmt w:val="bullet"/>
      <w:lvlText w:val=""/>
      <w:lvlJc w:val="left"/>
      <w:pPr>
        <w:ind w:left="3601" w:hanging="360"/>
      </w:pPr>
      <w:rPr>
        <w:rFonts w:hint="default" w:ascii="Wingdings" w:hAnsi="Wingdings"/>
      </w:rPr>
    </w:lvl>
    <w:lvl w:ilvl="3" w:tentative="0">
      <w:start w:val="1"/>
      <w:numFmt w:val="bullet"/>
      <w:lvlText w:val=""/>
      <w:lvlJc w:val="left"/>
      <w:pPr>
        <w:ind w:left="4321" w:hanging="360"/>
      </w:pPr>
      <w:rPr>
        <w:rFonts w:hint="default" w:ascii="Symbol" w:hAnsi="Symbol"/>
      </w:rPr>
    </w:lvl>
    <w:lvl w:ilvl="4" w:tentative="0">
      <w:start w:val="1"/>
      <w:numFmt w:val="bullet"/>
      <w:lvlText w:val="o"/>
      <w:lvlJc w:val="left"/>
      <w:pPr>
        <w:ind w:left="5041" w:hanging="360"/>
      </w:pPr>
      <w:rPr>
        <w:rFonts w:hint="default" w:ascii="Courier New" w:hAnsi="Courier New" w:cs="Courier New"/>
      </w:rPr>
    </w:lvl>
    <w:lvl w:ilvl="5" w:tentative="0">
      <w:start w:val="1"/>
      <w:numFmt w:val="bullet"/>
      <w:lvlText w:val=""/>
      <w:lvlJc w:val="left"/>
      <w:pPr>
        <w:ind w:left="5761" w:hanging="360"/>
      </w:pPr>
      <w:rPr>
        <w:rFonts w:hint="default" w:ascii="Wingdings" w:hAnsi="Wingdings"/>
      </w:rPr>
    </w:lvl>
    <w:lvl w:ilvl="6" w:tentative="0">
      <w:start w:val="1"/>
      <w:numFmt w:val="bullet"/>
      <w:lvlText w:val=""/>
      <w:lvlJc w:val="left"/>
      <w:pPr>
        <w:ind w:left="6481" w:hanging="360"/>
      </w:pPr>
      <w:rPr>
        <w:rFonts w:hint="default" w:ascii="Symbol" w:hAnsi="Symbol"/>
      </w:rPr>
    </w:lvl>
    <w:lvl w:ilvl="7" w:tentative="0">
      <w:start w:val="1"/>
      <w:numFmt w:val="bullet"/>
      <w:lvlText w:val="o"/>
      <w:lvlJc w:val="left"/>
      <w:pPr>
        <w:ind w:left="7201" w:hanging="360"/>
      </w:pPr>
      <w:rPr>
        <w:rFonts w:hint="default" w:ascii="Courier New" w:hAnsi="Courier New" w:cs="Courier New"/>
      </w:rPr>
    </w:lvl>
    <w:lvl w:ilvl="8" w:tentative="0">
      <w:start w:val="1"/>
      <w:numFmt w:val="bullet"/>
      <w:lvlText w:val=""/>
      <w:lvlJc w:val="left"/>
      <w:pPr>
        <w:ind w:left="7921" w:hanging="360"/>
      </w:pPr>
      <w:rPr>
        <w:rFonts w:hint="default" w:ascii="Wingdings" w:hAnsi="Wingdings"/>
      </w:rPr>
    </w:lvl>
  </w:abstractNum>
  <w:abstractNum w:abstractNumId="4">
    <w:nsid w:val="0A267AD4"/>
    <w:multiLevelType w:val="multilevel"/>
    <w:tmpl w:val="0A267AD4"/>
    <w:lvl w:ilvl="0" w:tentative="0">
      <w:start w:val="1"/>
      <w:numFmt w:val="lowerLetter"/>
      <w:lvlText w:val="%1)"/>
      <w:lvlJc w:val="left"/>
      <w:pPr>
        <w:ind w:left="720" w:hanging="360"/>
      </w:pPr>
      <w:rPr>
        <w:rFonts w:hint="default" w:ascii="Arial" w:hAnsi="Arial"/>
        <w:b w:val="0"/>
        <w:i w:val="0"/>
        <w:sz w:val="20"/>
        <w:szCs w:val="20"/>
      </w:rPr>
    </w:lvl>
    <w:lvl w:ilvl="1" w:tentative="0">
      <w:start w:val="1"/>
      <w:numFmt w:val="upperRoman"/>
      <w:lvlText w:val="%2)"/>
      <w:lvlJc w:val="left"/>
      <w:pPr>
        <w:ind w:left="1440" w:hanging="360"/>
      </w:pPr>
      <w:rPr>
        <w:rFonts w:hint="default"/>
      </w:r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5">
    <w:nsid w:val="0CA71652"/>
    <w:multiLevelType w:val="multilevel"/>
    <w:tmpl w:val="0CA71652"/>
    <w:lvl w:ilvl="0" w:tentative="0">
      <w:start w:val="1"/>
      <w:numFmt w:val="lowerLetter"/>
      <w:lvlText w:val="%1)"/>
      <w:lvlJc w:val="left"/>
      <w:pPr>
        <w:ind w:left="1080" w:hanging="360"/>
      </w:pPr>
      <w:rPr>
        <w:rFonts w:hint="default" w:ascii="Arial" w:hAnsi="Arial"/>
        <w:b w:val="0"/>
        <w:i w:val="0"/>
        <w:sz w:val="23"/>
      </w:rPr>
    </w:lvl>
    <w:lvl w:ilvl="1" w:tentative="0">
      <w:start w:val="1"/>
      <w:numFmt w:val="lowerLetter"/>
      <w:lvlText w:val="%2."/>
      <w:lvlJc w:val="left"/>
      <w:pPr>
        <w:ind w:left="1800" w:hanging="360"/>
      </w:pPr>
    </w:lvl>
    <w:lvl w:ilvl="2" w:tentative="0">
      <w:start w:val="1"/>
      <w:numFmt w:val="lowerRoman"/>
      <w:lvlText w:val="%3."/>
      <w:lvlJc w:val="right"/>
      <w:pPr>
        <w:ind w:left="2520" w:hanging="180"/>
      </w:pPr>
    </w:lvl>
    <w:lvl w:ilvl="3" w:tentative="0">
      <w:start w:val="1"/>
      <w:numFmt w:val="decimal"/>
      <w:lvlText w:val="%4."/>
      <w:lvlJc w:val="left"/>
      <w:pPr>
        <w:ind w:left="3240" w:hanging="360"/>
      </w:pPr>
    </w:lvl>
    <w:lvl w:ilvl="4" w:tentative="0">
      <w:start w:val="1"/>
      <w:numFmt w:val="lowerLetter"/>
      <w:lvlText w:val="%5."/>
      <w:lvlJc w:val="left"/>
      <w:pPr>
        <w:ind w:left="3960" w:hanging="360"/>
      </w:pPr>
    </w:lvl>
    <w:lvl w:ilvl="5" w:tentative="0">
      <w:start w:val="1"/>
      <w:numFmt w:val="lowerRoman"/>
      <w:lvlText w:val="%6."/>
      <w:lvlJc w:val="right"/>
      <w:pPr>
        <w:ind w:left="4680" w:hanging="180"/>
      </w:pPr>
    </w:lvl>
    <w:lvl w:ilvl="6" w:tentative="0">
      <w:start w:val="1"/>
      <w:numFmt w:val="decimal"/>
      <w:lvlText w:val="%7."/>
      <w:lvlJc w:val="left"/>
      <w:pPr>
        <w:ind w:left="5400" w:hanging="360"/>
      </w:pPr>
    </w:lvl>
    <w:lvl w:ilvl="7" w:tentative="0">
      <w:start w:val="1"/>
      <w:numFmt w:val="lowerLetter"/>
      <w:lvlText w:val="%8."/>
      <w:lvlJc w:val="left"/>
      <w:pPr>
        <w:ind w:left="6120" w:hanging="360"/>
      </w:pPr>
    </w:lvl>
    <w:lvl w:ilvl="8" w:tentative="0">
      <w:start w:val="1"/>
      <w:numFmt w:val="lowerRoman"/>
      <w:lvlText w:val="%9."/>
      <w:lvlJc w:val="right"/>
      <w:pPr>
        <w:ind w:left="6840" w:hanging="180"/>
      </w:pPr>
    </w:lvl>
  </w:abstractNum>
  <w:abstractNum w:abstractNumId="6">
    <w:nsid w:val="10720B5B"/>
    <w:multiLevelType w:val="multilevel"/>
    <w:tmpl w:val="10720B5B"/>
    <w:lvl w:ilvl="0" w:tentative="0">
      <w:start w:val="1"/>
      <w:numFmt w:val="lowerLetter"/>
      <w:lvlText w:val="%1)"/>
      <w:lvlJc w:val="left"/>
      <w:pPr>
        <w:ind w:left="1211" w:hanging="360"/>
      </w:pPr>
      <w:rPr>
        <w:rFonts w:hint="default" w:ascii="Arial" w:hAnsi="Arial" w:cs="Arial"/>
        <w:b w:val="0"/>
        <w:i w:val="0"/>
        <w:sz w:val="20"/>
      </w:rPr>
    </w:lvl>
    <w:lvl w:ilvl="1" w:tentative="0">
      <w:start w:val="1"/>
      <w:numFmt w:val="lowerLetter"/>
      <w:lvlText w:val="%2."/>
      <w:lvlJc w:val="left"/>
      <w:pPr>
        <w:ind w:left="1931" w:hanging="360"/>
      </w:pPr>
    </w:lvl>
    <w:lvl w:ilvl="2" w:tentative="0">
      <w:start w:val="1"/>
      <w:numFmt w:val="lowerRoman"/>
      <w:lvlText w:val="%3."/>
      <w:lvlJc w:val="right"/>
      <w:pPr>
        <w:ind w:left="2651" w:hanging="180"/>
      </w:pPr>
    </w:lvl>
    <w:lvl w:ilvl="3" w:tentative="0">
      <w:start w:val="1"/>
      <w:numFmt w:val="decimal"/>
      <w:lvlText w:val="%4."/>
      <w:lvlJc w:val="left"/>
      <w:pPr>
        <w:ind w:left="3371" w:hanging="360"/>
      </w:pPr>
    </w:lvl>
    <w:lvl w:ilvl="4" w:tentative="0">
      <w:start w:val="1"/>
      <w:numFmt w:val="lowerLetter"/>
      <w:lvlText w:val="%5."/>
      <w:lvlJc w:val="left"/>
      <w:pPr>
        <w:ind w:left="4091" w:hanging="360"/>
      </w:pPr>
    </w:lvl>
    <w:lvl w:ilvl="5" w:tentative="0">
      <w:start w:val="1"/>
      <w:numFmt w:val="lowerRoman"/>
      <w:lvlText w:val="%6."/>
      <w:lvlJc w:val="right"/>
      <w:pPr>
        <w:ind w:left="4811" w:hanging="180"/>
      </w:pPr>
    </w:lvl>
    <w:lvl w:ilvl="6" w:tentative="0">
      <w:start w:val="1"/>
      <w:numFmt w:val="decimal"/>
      <w:lvlText w:val="%7."/>
      <w:lvlJc w:val="left"/>
      <w:pPr>
        <w:ind w:left="5531" w:hanging="360"/>
      </w:pPr>
    </w:lvl>
    <w:lvl w:ilvl="7" w:tentative="0">
      <w:start w:val="1"/>
      <w:numFmt w:val="lowerLetter"/>
      <w:lvlText w:val="%8."/>
      <w:lvlJc w:val="left"/>
      <w:pPr>
        <w:ind w:left="6251" w:hanging="360"/>
      </w:pPr>
    </w:lvl>
    <w:lvl w:ilvl="8" w:tentative="0">
      <w:start w:val="1"/>
      <w:numFmt w:val="lowerRoman"/>
      <w:lvlText w:val="%9."/>
      <w:lvlJc w:val="right"/>
      <w:pPr>
        <w:ind w:left="6971" w:hanging="180"/>
      </w:pPr>
    </w:lvl>
  </w:abstractNum>
  <w:abstractNum w:abstractNumId="7">
    <w:nsid w:val="1D465052"/>
    <w:multiLevelType w:val="multilevel"/>
    <w:tmpl w:val="1D465052"/>
    <w:lvl w:ilvl="0" w:tentative="0">
      <w:start w:val="1"/>
      <w:numFmt w:val="bullet"/>
      <w:lvlText w:val=""/>
      <w:lvlJc w:val="left"/>
      <w:pPr>
        <w:ind w:left="2487" w:hanging="360"/>
      </w:pPr>
      <w:rPr>
        <w:rFonts w:hint="default" w:ascii="Symbol" w:hAnsi="Symbol"/>
      </w:rPr>
    </w:lvl>
    <w:lvl w:ilvl="1" w:tentative="0">
      <w:start w:val="1"/>
      <w:numFmt w:val="bullet"/>
      <w:lvlText w:val="o"/>
      <w:lvlJc w:val="left"/>
      <w:pPr>
        <w:ind w:left="3207" w:hanging="360"/>
      </w:pPr>
      <w:rPr>
        <w:rFonts w:hint="default" w:ascii="Courier New" w:hAnsi="Courier New" w:cs="Courier New"/>
      </w:rPr>
    </w:lvl>
    <w:lvl w:ilvl="2" w:tentative="0">
      <w:start w:val="1"/>
      <w:numFmt w:val="bullet"/>
      <w:lvlText w:val=""/>
      <w:lvlJc w:val="left"/>
      <w:pPr>
        <w:ind w:left="3927" w:hanging="360"/>
      </w:pPr>
      <w:rPr>
        <w:rFonts w:hint="default" w:ascii="Wingdings" w:hAnsi="Wingdings"/>
      </w:rPr>
    </w:lvl>
    <w:lvl w:ilvl="3" w:tentative="0">
      <w:start w:val="1"/>
      <w:numFmt w:val="bullet"/>
      <w:lvlText w:val=""/>
      <w:lvlJc w:val="left"/>
      <w:pPr>
        <w:ind w:left="4647" w:hanging="360"/>
      </w:pPr>
      <w:rPr>
        <w:rFonts w:hint="default" w:ascii="Symbol" w:hAnsi="Symbol"/>
      </w:rPr>
    </w:lvl>
    <w:lvl w:ilvl="4" w:tentative="0">
      <w:start w:val="1"/>
      <w:numFmt w:val="bullet"/>
      <w:lvlText w:val="o"/>
      <w:lvlJc w:val="left"/>
      <w:pPr>
        <w:ind w:left="5367" w:hanging="360"/>
      </w:pPr>
      <w:rPr>
        <w:rFonts w:hint="default" w:ascii="Courier New" w:hAnsi="Courier New" w:cs="Courier New"/>
      </w:rPr>
    </w:lvl>
    <w:lvl w:ilvl="5" w:tentative="0">
      <w:start w:val="1"/>
      <w:numFmt w:val="bullet"/>
      <w:lvlText w:val=""/>
      <w:lvlJc w:val="left"/>
      <w:pPr>
        <w:ind w:left="6087" w:hanging="360"/>
      </w:pPr>
      <w:rPr>
        <w:rFonts w:hint="default" w:ascii="Wingdings" w:hAnsi="Wingdings"/>
      </w:rPr>
    </w:lvl>
    <w:lvl w:ilvl="6" w:tentative="0">
      <w:start w:val="1"/>
      <w:numFmt w:val="bullet"/>
      <w:lvlText w:val=""/>
      <w:lvlJc w:val="left"/>
      <w:pPr>
        <w:ind w:left="6807" w:hanging="360"/>
      </w:pPr>
      <w:rPr>
        <w:rFonts w:hint="default" w:ascii="Symbol" w:hAnsi="Symbol"/>
      </w:rPr>
    </w:lvl>
    <w:lvl w:ilvl="7" w:tentative="0">
      <w:start w:val="1"/>
      <w:numFmt w:val="bullet"/>
      <w:lvlText w:val="o"/>
      <w:lvlJc w:val="left"/>
      <w:pPr>
        <w:ind w:left="7527" w:hanging="360"/>
      </w:pPr>
      <w:rPr>
        <w:rFonts w:hint="default" w:ascii="Courier New" w:hAnsi="Courier New" w:cs="Courier New"/>
      </w:rPr>
    </w:lvl>
    <w:lvl w:ilvl="8" w:tentative="0">
      <w:start w:val="1"/>
      <w:numFmt w:val="bullet"/>
      <w:lvlText w:val=""/>
      <w:lvlJc w:val="left"/>
      <w:pPr>
        <w:ind w:left="8247" w:hanging="360"/>
      </w:pPr>
      <w:rPr>
        <w:rFonts w:hint="default" w:ascii="Wingdings" w:hAnsi="Wingdings"/>
      </w:rPr>
    </w:lvl>
  </w:abstractNum>
  <w:abstractNum w:abstractNumId="8">
    <w:nsid w:val="1E3B039E"/>
    <w:multiLevelType w:val="multilevel"/>
    <w:tmpl w:val="1E3B039E"/>
    <w:lvl w:ilvl="0" w:tentative="0">
      <w:start w:val="1"/>
      <w:numFmt w:val="bullet"/>
      <w:lvlText w:val="-"/>
      <w:lvlJc w:val="left"/>
      <w:pPr>
        <w:ind w:left="2497" w:hanging="360"/>
      </w:pPr>
      <w:rPr>
        <w:rFonts w:hint="default" w:ascii="Courier New" w:hAnsi="Courier New"/>
      </w:rPr>
    </w:lvl>
    <w:lvl w:ilvl="1" w:tentative="0">
      <w:start w:val="1"/>
      <w:numFmt w:val="bullet"/>
      <w:lvlText w:val="o"/>
      <w:lvlJc w:val="left"/>
      <w:pPr>
        <w:ind w:left="3217" w:hanging="360"/>
      </w:pPr>
      <w:rPr>
        <w:rFonts w:hint="default" w:ascii="Courier New" w:hAnsi="Courier New" w:cs="Courier New"/>
      </w:rPr>
    </w:lvl>
    <w:lvl w:ilvl="2" w:tentative="0">
      <w:start w:val="1"/>
      <w:numFmt w:val="bullet"/>
      <w:lvlText w:val=""/>
      <w:lvlJc w:val="left"/>
      <w:pPr>
        <w:ind w:left="3937" w:hanging="360"/>
      </w:pPr>
      <w:rPr>
        <w:rFonts w:hint="default" w:ascii="Wingdings" w:hAnsi="Wingdings"/>
      </w:rPr>
    </w:lvl>
    <w:lvl w:ilvl="3" w:tentative="0">
      <w:start w:val="1"/>
      <w:numFmt w:val="bullet"/>
      <w:lvlText w:val=""/>
      <w:lvlJc w:val="left"/>
      <w:pPr>
        <w:ind w:left="4657" w:hanging="360"/>
      </w:pPr>
      <w:rPr>
        <w:rFonts w:hint="default" w:ascii="Symbol" w:hAnsi="Symbol"/>
      </w:rPr>
    </w:lvl>
    <w:lvl w:ilvl="4" w:tentative="0">
      <w:start w:val="1"/>
      <w:numFmt w:val="bullet"/>
      <w:lvlText w:val="o"/>
      <w:lvlJc w:val="left"/>
      <w:pPr>
        <w:ind w:left="5377" w:hanging="360"/>
      </w:pPr>
      <w:rPr>
        <w:rFonts w:hint="default" w:ascii="Courier New" w:hAnsi="Courier New" w:cs="Courier New"/>
      </w:rPr>
    </w:lvl>
    <w:lvl w:ilvl="5" w:tentative="0">
      <w:start w:val="1"/>
      <w:numFmt w:val="bullet"/>
      <w:lvlText w:val=""/>
      <w:lvlJc w:val="left"/>
      <w:pPr>
        <w:ind w:left="6097" w:hanging="360"/>
      </w:pPr>
      <w:rPr>
        <w:rFonts w:hint="default" w:ascii="Wingdings" w:hAnsi="Wingdings"/>
      </w:rPr>
    </w:lvl>
    <w:lvl w:ilvl="6" w:tentative="0">
      <w:start w:val="1"/>
      <w:numFmt w:val="bullet"/>
      <w:lvlText w:val=""/>
      <w:lvlJc w:val="left"/>
      <w:pPr>
        <w:ind w:left="6817" w:hanging="360"/>
      </w:pPr>
      <w:rPr>
        <w:rFonts w:hint="default" w:ascii="Symbol" w:hAnsi="Symbol"/>
      </w:rPr>
    </w:lvl>
    <w:lvl w:ilvl="7" w:tentative="0">
      <w:start w:val="1"/>
      <w:numFmt w:val="bullet"/>
      <w:lvlText w:val="o"/>
      <w:lvlJc w:val="left"/>
      <w:pPr>
        <w:ind w:left="7537" w:hanging="360"/>
      </w:pPr>
      <w:rPr>
        <w:rFonts w:hint="default" w:ascii="Courier New" w:hAnsi="Courier New" w:cs="Courier New"/>
      </w:rPr>
    </w:lvl>
    <w:lvl w:ilvl="8" w:tentative="0">
      <w:start w:val="1"/>
      <w:numFmt w:val="bullet"/>
      <w:lvlText w:val=""/>
      <w:lvlJc w:val="left"/>
      <w:pPr>
        <w:ind w:left="8257" w:hanging="360"/>
      </w:pPr>
      <w:rPr>
        <w:rFonts w:hint="default" w:ascii="Wingdings" w:hAnsi="Wingdings"/>
      </w:rPr>
    </w:lvl>
  </w:abstractNum>
  <w:abstractNum w:abstractNumId="9">
    <w:nsid w:val="202010A7"/>
    <w:multiLevelType w:val="multilevel"/>
    <w:tmpl w:val="202010A7"/>
    <w:lvl w:ilvl="0" w:tentative="0">
      <w:start w:val="1"/>
      <w:numFmt w:val="bullet"/>
      <w:lvlText w:val="-"/>
      <w:lvlJc w:val="left"/>
      <w:pPr>
        <w:ind w:left="1002" w:hanging="360"/>
      </w:pPr>
      <w:rPr>
        <w:rFonts w:hint="default" w:ascii="Courier New" w:hAnsi="Courier New"/>
      </w:rPr>
    </w:lvl>
    <w:lvl w:ilvl="1" w:tentative="0">
      <w:start w:val="1"/>
      <w:numFmt w:val="bullet"/>
      <w:lvlText w:val="o"/>
      <w:lvlJc w:val="left"/>
      <w:pPr>
        <w:ind w:left="1722" w:hanging="360"/>
      </w:pPr>
      <w:rPr>
        <w:rFonts w:hint="default" w:ascii="Courier New" w:hAnsi="Courier New" w:cs="Courier New"/>
      </w:rPr>
    </w:lvl>
    <w:lvl w:ilvl="2" w:tentative="0">
      <w:start w:val="1"/>
      <w:numFmt w:val="bullet"/>
      <w:lvlText w:val=""/>
      <w:lvlJc w:val="left"/>
      <w:pPr>
        <w:ind w:left="2442" w:hanging="360"/>
      </w:pPr>
      <w:rPr>
        <w:rFonts w:hint="default" w:ascii="Wingdings" w:hAnsi="Wingdings"/>
      </w:rPr>
    </w:lvl>
    <w:lvl w:ilvl="3" w:tentative="0">
      <w:start w:val="1"/>
      <w:numFmt w:val="bullet"/>
      <w:lvlText w:val=""/>
      <w:lvlJc w:val="left"/>
      <w:pPr>
        <w:ind w:left="3162" w:hanging="360"/>
      </w:pPr>
      <w:rPr>
        <w:rFonts w:hint="default" w:ascii="Symbol" w:hAnsi="Symbol"/>
      </w:rPr>
    </w:lvl>
    <w:lvl w:ilvl="4" w:tentative="0">
      <w:start w:val="1"/>
      <w:numFmt w:val="bullet"/>
      <w:lvlText w:val="o"/>
      <w:lvlJc w:val="left"/>
      <w:pPr>
        <w:ind w:left="3882" w:hanging="360"/>
      </w:pPr>
      <w:rPr>
        <w:rFonts w:hint="default" w:ascii="Courier New" w:hAnsi="Courier New" w:cs="Courier New"/>
      </w:rPr>
    </w:lvl>
    <w:lvl w:ilvl="5" w:tentative="0">
      <w:start w:val="1"/>
      <w:numFmt w:val="bullet"/>
      <w:lvlText w:val=""/>
      <w:lvlJc w:val="left"/>
      <w:pPr>
        <w:ind w:left="4602" w:hanging="360"/>
      </w:pPr>
      <w:rPr>
        <w:rFonts w:hint="default" w:ascii="Wingdings" w:hAnsi="Wingdings"/>
      </w:rPr>
    </w:lvl>
    <w:lvl w:ilvl="6" w:tentative="0">
      <w:start w:val="1"/>
      <w:numFmt w:val="bullet"/>
      <w:lvlText w:val=""/>
      <w:lvlJc w:val="left"/>
      <w:pPr>
        <w:ind w:left="5322" w:hanging="360"/>
      </w:pPr>
      <w:rPr>
        <w:rFonts w:hint="default" w:ascii="Symbol" w:hAnsi="Symbol"/>
      </w:rPr>
    </w:lvl>
    <w:lvl w:ilvl="7" w:tentative="0">
      <w:start w:val="1"/>
      <w:numFmt w:val="bullet"/>
      <w:lvlText w:val="o"/>
      <w:lvlJc w:val="left"/>
      <w:pPr>
        <w:ind w:left="6042" w:hanging="360"/>
      </w:pPr>
      <w:rPr>
        <w:rFonts w:hint="default" w:ascii="Courier New" w:hAnsi="Courier New" w:cs="Courier New"/>
      </w:rPr>
    </w:lvl>
    <w:lvl w:ilvl="8" w:tentative="0">
      <w:start w:val="1"/>
      <w:numFmt w:val="bullet"/>
      <w:lvlText w:val=""/>
      <w:lvlJc w:val="left"/>
      <w:pPr>
        <w:ind w:left="6762" w:hanging="360"/>
      </w:pPr>
      <w:rPr>
        <w:rFonts w:hint="default" w:ascii="Wingdings" w:hAnsi="Wingdings"/>
      </w:rPr>
    </w:lvl>
  </w:abstractNum>
  <w:abstractNum w:abstractNumId="10">
    <w:nsid w:val="212D64F5"/>
    <w:multiLevelType w:val="multilevel"/>
    <w:tmpl w:val="212D64F5"/>
    <w:lvl w:ilvl="0" w:tentative="0">
      <w:start w:val="1"/>
      <w:numFmt w:val="decimal"/>
      <w:lvlText w:val="d%1)"/>
      <w:lvlJc w:val="left"/>
      <w:pPr>
        <w:ind w:left="1776" w:hanging="360"/>
      </w:pPr>
      <w:rPr>
        <w:rFonts w:hint="default"/>
        <w:b w:val="0"/>
        <w:i w:val="0"/>
        <w:color w:val="auto"/>
        <w:sz w:val="20"/>
        <w:szCs w:val="20"/>
      </w:rPr>
    </w:lvl>
    <w:lvl w:ilvl="1" w:tentative="0">
      <w:start w:val="1"/>
      <w:numFmt w:val="lowerLetter"/>
      <w:lvlText w:val="%2."/>
      <w:lvlJc w:val="left"/>
      <w:pPr>
        <w:ind w:left="2496" w:hanging="360"/>
      </w:pPr>
    </w:lvl>
    <w:lvl w:ilvl="2" w:tentative="0">
      <w:start w:val="1"/>
      <w:numFmt w:val="lowerRoman"/>
      <w:lvlText w:val="%3."/>
      <w:lvlJc w:val="right"/>
      <w:pPr>
        <w:ind w:left="3216" w:hanging="180"/>
      </w:pPr>
    </w:lvl>
    <w:lvl w:ilvl="3" w:tentative="0">
      <w:start w:val="1"/>
      <w:numFmt w:val="decimal"/>
      <w:lvlText w:val="%4."/>
      <w:lvlJc w:val="left"/>
      <w:pPr>
        <w:ind w:left="3936" w:hanging="360"/>
      </w:pPr>
    </w:lvl>
    <w:lvl w:ilvl="4" w:tentative="0">
      <w:start w:val="1"/>
      <w:numFmt w:val="lowerLetter"/>
      <w:lvlText w:val="%5."/>
      <w:lvlJc w:val="left"/>
      <w:pPr>
        <w:ind w:left="4656" w:hanging="360"/>
      </w:pPr>
    </w:lvl>
    <w:lvl w:ilvl="5" w:tentative="0">
      <w:start w:val="1"/>
      <w:numFmt w:val="lowerRoman"/>
      <w:lvlText w:val="%6."/>
      <w:lvlJc w:val="right"/>
      <w:pPr>
        <w:ind w:left="5376" w:hanging="180"/>
      </w:pPr>
    </w:lvl>
    <w:lvl w:ilvl="6" w:tentative="0">
      <w:start w:val="1"/>
      <w:numFmt w:val="decimal"/>
      <w:lvlText w:val="%7."/>
      <w:lvlJc w:val="left"/>
      <w:pPr>
        <w:ind w:left="6096" w:hanging="360"/>
      </w:pPr>
    </w:lvl>
    <w:lvl w:ilvl="7" w:tentative="0">
      <w:start w:val="1"/>
      <w:numFmt w:val="lowerLetter"/>
      <w:lvlText w:val="%8."/>
      <w:lvlJc w:val="left"/>
      <w:pPr>
        <w:ind w:left="6816" w:hanging="360"/>
      </w:pPr>
    </w:lvl>
    <w:lvl w:ilvl="8" w:tentative="0">
      <w:start w:val="1"/>
      <w:numFmt w:val="lowerRoman"/>
      <w:lvlText w:val="%9."/>
      <w:lvlJc w:val="right"/>
      <w:pPr>
        <w:ind w:left="7536" w:hanging="180"/>
      </w:pPr>
    </w:lvl>
  </w:abstractNum>
  <w:abstractNum w:abstractNumId="11">
    <w:nsid w:val="221A69D5"/>
    <w:multiLevelType w:val="multilevel"/>
    <w:tmpl w:val="221A69D5"/>
    <w:lvl w:ilvl="0" w:tentative="0">
      <w:start w:val="1"/>
      <w:numFmt w:val="decimal"/>
      <w:pStyle w:val="2"/>
      <w:lvlText w:val="%1."/>
      <w:lvlJc w:val="left"/>
      <w:pPr>
        <w:ind w:left="360" w:hanging="360"/>
      </w:pPr>
      <w:rPr>
        <w:rFonts w:hint="default"/>
      </w:rPr>
    </w:lvl>
    <w:lvl w:ilvl="1" w:tentative="0">
      <w:start w:val="1"/>
      <w:numFmt w:val="decimal"/>
      <w:pStyle w:val="4"/>
      <w:lvlText w:val="%1.%2."/>
      <w:lvlJc w:val="left"/>
      <w:pPr>
        <w:ind w:left="792" w:hanging="432"/>
      </w:pPr>
      <w:rPr>
        <w:rFonts w:hint="default"/>
        <w:b w:val="0"/>
        <w:color w:val="000000" w:themeColor="text1"/>
        <w14:textFill>
          <w14:solidFill>
            <w14:schemeClr w14:val="tx1"/>
          </w14:solidFill>
        </w14:textFill>
      </w:rPr>
    </w:lvl>
    <w:lvl w:ilvl="2" w:tentative="0">
      <w:start w:val="1"/>
      <w:numFmt w:val="decimal"/>
      <w:pStyle w:val="5"/>
      <w:lvlText w:val="%1.%2.%3."/>
      <w:lvlJc w:val="left"/>
      <w:pPr>
        <w:ind w:left="1224" w:hanging="504"/>
      </w:pPr>
      <w:rPr>
        <w:rFonts w:hint="default"/>
        <w:color w:val="auto"/>
      </w:rPr>
    </w:lvl>
    <w:lvl w:ilvl="3" w:tentative="0">
      <w:start w:val="1"/>
      <w:numFmt w:val="decimal"/>
      <w:lvlText w:val="%1.%2.%3.%4."/>
      <w:lvlJc w:val="left"/>
      <w:pPr>
        <w:ind w:left="1728" w:hanging="648"/>
      </w:pPr>
      <w:rPr>
        <w:rFonts w:hint="default"/>
      </w:rPr>
    </w:lvl>
    <w:lvl w:ilvl="4" w:tentative="0">
      <w:start w:val="1"/>
      <w:numFmt w:val="decimal"/>
      <w:lvlText w:val="%1.%2.%3.%4.%5."/>
      <w:lvlJc w:val="left"/>
      <w:pPr>
        <w:ind w:left="2232" w:hanging="792"/>
      </w:pPr>
      <w:rPr>
        <w:rFonts w:hint="default"/>
      </w:rPr>
    </w:lvl>
    <w:lvl w:ilvl="5" w:tentative="0">
      <w:start w:val="1"/>
      <w:numFmt w:val="decimal"/>
      <w:lvlText w:val="%1.%2.%3.%4.%5.%6."/>
      <w:lvlJc w:val="left"/>
      <w:pPr>
        <w:ind w:left="2736" w:hanging="936"/>
      </w:pPr>
      <w:rPr>
        <w:rFonts w:hint="default"/>
      </w:rPr>
    </w:lvl>
    <w:lvl w:ilvl="6" w:tentative="0">
      <w:start w:val="1"/>
      <w:numFmt w:val="decimal"/>
      <w:lvlText w:val="%1.%2.%3.%4.%5.%6.%7."/>
      <w:lvlJc w:val="left"/>
      <w:pPr>
        <w:ind w:left="3240" w:hanging="1080"/>
      </w:pPr>
      <w:rPr>
        <w:rFonts w:hint="default"/>
      </w:rPr>
    </w:lvl>
    <w:lvl w:ilvl="7" w:tentative="0">
      <w:start w:val="1"/>
      <w:numFmt w:val="decimal"/>
      <w:lvlText w:val="%1.%2.%3.%4.%5.%6.%7.%8."/>
      <w:lvlJc w:val="left"/>
      <w:pPr>
        <w:ind w:left="3744" w:hanging="1224"/>
      </w:pPr>
      <w:rPr>
        <w:rFonts w:hint="default"/>
      </w:rPr>
    </w:lvl>
    <w:lvl w:ilvl="8" w:tentative="0">
      <w:start w:val="1"/>
      <w:numFmt w:val="decimal"/>
      <w:lvlText w:val="%1.%2.%3.%4.%5.%6.%7.%8.%9."/>
      <w:lvlJc w:val="left"/>
      <w:pPr>
        <w:ind w:left="4320" w:hanging="1440"/>
      </w:pPr>
      <w:rPr>
        <w:rFonts w:hint="default"/>
      </w:rPr>
    </w:lvl>
  </w:abstractNum>
  <w:abstractNum w:abstractNumId="12">
    <w:nsid w:val="259F0CA7"/>
    <w:multiLevelType w:val="multilevel"/>
    <w:tmpl w:val="259F0CA7"/>
    <w:lvl w:ilvl="0" w:tentative="0">
      <w:start w:val="1"/>
      <w:numFmt w:val="bullet"/>
      <w:lvlText w:val="-"/>
      <w:lvlJc w:val="left"/>
      <w:pPr>
        <w:ind w:left="720" w:hanging="360"/>
      </w:pPr>
      <w:rPr>
        <w:rFonts w:hint="default" w:ascii="Courier New" w:hAnsi="Courier New"/>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3">
    <w:nsid w:val="2CA0227C"/>
    <w:multiLevelType w:val="multilevel"/>
    <w:tmpl w:val="2CA0227C"/>
    <w:lvl w:ilvl="0" w:tentative="0">
      <w:start w:val="1"/>
      <w:numFmt w:val="lowerLetter"/>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4">
    <w:nsid w:val="2E9F475E"/>
    <w:multiLevelType w:val="multilevel"/>
    <w:tmpl w:val="2E9F475E"/>
    <w:lvl w:ilvl="0" w:tentative="0">
      <w:start w:val="1"/>
      <w:numFmt w:val="bullet"/>
      <w:lvlText w:val="-"/>
      <w:lvlJc w:val="left"/>
      <w:pPr>
        <w:ind w:left="720" w:hanging="360"/>
      </w:pPr>
      <w:rPr>
        <w:rFonts w:hint="default" w:ascii="Courier New" w:hAnsi="Courier New"/>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15">
    <w:nsid w:val="327F610B"/>
    <w:multiLevelType w:val="multilevel"/>
    <w:tmpl w:val="327F610B"/>
    <w:lvl w:ilvl="0" w:tentative="0">
      <w:start w:val="1"/>
      <w:numFmt w:val="lowerLetter"/>
      <w:lvlText w:val="%1)"/>
      <w:lvlJc w:val="left"/>
      <w:pPr>
        <w:ind w:left="720" w:hanging="360"/>
      </w:pPr>
      <w:rPr>
        <w:rFonts w:hint="default"/>
        <w:b w:val="0"/>
        <w:i w:val="0"/>
        <w:sz w:val="23"/>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6">
    <w:nsid w:val="34304324"/>
    <w:multiLevelType w:val="multilevel"/>
    <w:tmpl w:val="34304324"/>
    <w:lvl w:ilvl="0" w:tentative="0">
      <w:start w:val="1"/>
      <w:numFmt w:val="decimal"/>
      <w:lvlText w:val="b.%1)"/>
      <w:lvlJc w:val="left"/>
      <w:pPr>
        <w:ind w:left="1850" w:hanging="360"/>
      </w:pPr>
      <w:rPr>
        <w:rFonts w:hint="default"/>
      </w:rPr>
    </w:lvl>
    <w:lvl w:ilvl="1" w:tentative="0">
      <w:start w:val="1"/>
      <w:numFmt w:val="lowerLetter"/>
      <w:lvlText w:val="%2."/>
      <w:lvlJc w:val="left"/>
      <w:pPr>
        <w:ind w:left="2570" w:hanging="360"/>
      </w:pPr>
    </w:lvl>
    <w:lvl w:ilvl="2" w:tentative="0">
      <w:start w:val="1"/>
      <w:numFmt w:val="lowerRoman"/>
      <w:lvlText w:val="%3."/>
      <w:lvlJc w:val="right"/>
      <w:pPr>
        <w:ind w:left="3290" w:hanging="180"/>
      </w:pPr>
    </w:lvl>
    <w:lvl w:ilvl="3" w:tentative="0">
      <w:start w:val="1"/>
      <w:numFmt w:val="decimal"/>
      <w:lvlText w:val="%4."/>
      <w:lvlJc w:val="left"/>
      <w:pPr>
        <w:ind w:left="4010" w:hanging="360"/>
      </w:pPr>
    </w:lvl>
    <w:lvl w:ilvl="4" w:tentative="0">
      <w:start w:val="1"/>
      <w:numFmt w:val="lowerLetter"/>
      <w:lvlText w:val="%5."/>
      <w:lvlJc w:val="left"/>
      <w:pPr>
        <w:ind w:left="4730" w:hanging="360"/>
      </w:pPr>
    </w:lvl>
    <w:lvl w:ilvl="5" w:tentative="0">
      <w:start w:val="1"/>
      <w:numFmt w:val="lowerRoman"/>
      <w:lvlText w:val="%6."/>
      <w:lvlJc w:val="right"/>
      <w:pPr>
        <w:ind w:left="5450" w:hanging="180"/>
      </w:pPr>
    </w:lvl>
    <w:lvl w:ilvl="6" w:tentative="0">
      <w:start w:val="1"/>
      <w:numFmt w:val="decimal"/>
      <w:lvlText w:val="%7."/>
      <w:lvlJc w:val="left"/>
      <w:pPr>
        <w:ind w:left="6170" w:hanging="360"/>
      </w:pPr>
    </w:lvl>
    <w:lvl w:ilvl="7" w:tentative="0">
      <w:start w:val="1"/>
      <w:numFmt w:val="lowerLetter"/>
      <w:lvlText w:val="%8."/>
      <w:lvlJc w:val="left"/>
      <w:pPr>
        <w:ind w:left="6890" w:hanging="360"/>
      </w:pPr>
    </w:lvl>
    <w:lvl w:ilvl="8" w:tentative="0">
      <w:start w:val="1"/>
      <w:numFmt w:val="lowerRoman"/>
      <w:lvlText w:val="%9."/>
      <w:lvlJc w:val="right"/>
      <w:pPr>
        <w:ind w:left="7610" w:hanging="180"/>
      </w:pPr>
    </w:lvl>
  </w:abstractNum>
  <w:abstractNum w:abstractNumId="17">
    <w:nsid w:val="3595417A"/>
    <w:multiLevelType w:val="multilevel"/>
    <w:tmpl w:val="3595417A"/>
    <w:lvl w:ilvl="0" w:tentative="0">
      <w:start w:val="6"/>
      <w:numFmt w:val="decimal"/>
      <w:lvlText w:val="%1."/>
      <w:lvlJc w:val="left"/>
      <w:pPr>
        <w:tabs>
          <w:tab w:val="left" w:pos="708"/>
        </w:tabs>
        <w:ind w:left="360" w:hanging="360"/>
      </w:pPr>
      <w:rPr>
        <w:rFonts w:hint="default"/>
      </w:rPr>
    </w:lvl>
    <w:lvl w:ilvl="1" w:tentative="0">
      <w:start w:val="1"/>
      <w:numFmt w:val="decimal"/>
      <w:lvlText w:val="%1.%2."/>
      <w:lvlJc w:val="left"/>
      <w:pPr>
        <w:tabs>
          <w:tab w:val="left" w:pos="-284"/>
        </w:tabs>
        <w:ind w:left="432" w:hanging="432"/>
      </w:pPr>
      <w:rPr>
        <w:rFonts w:hint="default"/>
        <w:b w:val="0"/>
        <w:i w:val="0"/>
        <w:color w:val="auto"/>
        <w:sz w:val="20"/>
        <w:szCs w:val="20"/>
      </w:rPr>
    </w:lvl>
    <w:lvl w:ilvl="2" w:tentative="0">
      <w:start w:val="1"/>
      <w:numFmt w:val="decimal"/>
      <w:lvlText w:val="%1.%2.%3."/>
      <w:lvlJc w:val="left"/>
      <w:pPr>
        <w:tabs>
          <w:tab w:val="left" w:pos="708"/>
        </w:tabs>
        <w:ind w:left="3624" w:hanging="504"/>
      </w:pPr>
      <w:rPr>
        <w:rFonts w:hint="default"/>
        <w:color w:val="auto"/>
      </w:rPr>
    </w:lvl>
    <w:lvl w:ilvl="3" w:tentative="0">
      <w:start w:val="1"/>
      <w:numFmt w:val="decimal"/>
      <w:lvlText w:val="%1.%2.%3.%4."/>
      <w:lvlJc w:val="left"/>
      <w:pPr>
        <w:tabs>
          <w:tab w:val="left" w:pos="0"/>
        </w:tabs>
        <w:ind w:left="1728" w:hanging="648"/>
      </w:pPr>
      <w:rPr>
        <w:rFonts w:hint="default"/>
      </w:rPr>
    </w:lvl>
    <w:lvl w:ilvl="4" w:tentative="0">
      <w:start w:val="1"/>
      <w:numFmt w:val="none"/>
      <w:suff w:val="nothing"/>
      <w:lvlText w:val=""/>
      <w:lvlJc w:val="left"/>
      <w:pPr>
        <w:ind w:left="0" w:firstLine="0"/>
      </w:pPr>
      <w:rPr>
        <w:rFonts w:hint="default"/>
      </w:rPr>
    </w:lvl>
    <w:lvl w:ilvl="5" w:tentative="0">
      <w:start w:val="1"/>
      <w:numFmt w:val="none"/>
      <w:suff w:val="nothing"/>
      <w:lvlText w:val=""/>
      <w:lvlJc w:val="left"/>
      <w:pPr>
        <w:ind w:left="0" w:firstLine="0"/>
      </w:pPr>
      <w:rPr>
        <w:rFonts w:hint="default"/>
      </w:rPr>
    </w:lvl>
    <w:lvl w:ilvl="6" w:tentative="0">
      <w:start w:val="1"/>
      <w:numFmt w:val="none"/>
      <w:suff w:val="nothing"/>
      <w:lvlText w:val=""/>
      <w:lvlJc w:val="left"/>
      <w:pPr>
        <w:ind w:left="0" w:firstLine="0"/>
      </w:pPr>
      <w:rPr>
        <w:rFonts w:hint="default"/>
      </w:rPr>
    </w:lvl>
    <w:lvl w:ilvl="7" w:tentative="0">
      <w:start w:val="1"/>
      <w:numFmt w:val="none"/>
      <w:suff w:val="nothing"/>
      <w:lvlText w:val=""/>
      <w:lvlJc w:val="left"/>
      <w:pPr>
        <w:ind w:left="0" w:firstLine="0"/>
      </w:pPr>
      <w:rPr>
        <w:rFonts w:hint="default"/>
      </w:rPr>
    </w:lvl>
    <w:lvl w:ilvl="8" w:tentative="0">
      <w:start w:val="1"/>
      <w:numFmt w:val="none"/>
      <w:suff w:val="nothing"/>
      <w:lvlText w:val=""/>
      <w:lvlJc w:val="left"/>
      <w:pPr>
        <w:ind w:left="0" w:firstLine="0"/>
      </w:pPr>
      <w:rPr>
        <w:rFonts w:hint="default"/>
      </w:rPr>
    </w:lvl>
  </w:abstractNum>
  <w:abstractNum w:abstractNumId="18">
    <w:nsid w:val="38972BEC"/>
    <w:multiLevelType w:val="multilevel"/>
    <w:tmpl w:val="38972BEC"/>
    <w:lvl w:ilvl="0" w:tentative="0">
      <w:start w:val="1"/>
      <w:numFmt w:val="lowerLetter"/>
      <w:lvlText w:val="%1)"/>
      <w:lvlJc w:val="left"/>
      <w:pPr>
        <w:ind w:left="720" w:hanging="360"/>
      </w:pPr>
      <w:rPr>
        <w:rFonts w:hint="default" w:ascii="Arial" w:hAnsi="Arial"/>
        <w:b w:val="0"/>
        <w:i w:val="0"/>
        <w:sz w:val="20"/>
        <w:szCs w:val="20"/>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19">
    <w:nsid w:val="3B0625A6"/>
    <w:multiLevelType w:val="multilevel"/>
    <w:tmpl w:val="3B0625A6"/>
    <w:lvl w:ilvl="0" w:tentative="0">
      <w:start w:val="1"/>
      <w:numFmt w:val="lowerLetter"/>
      <w:lvlText w:val="%1)"/>
      <w:lvlJc w:val="left"/>
      <w:pPr>
        <w:ind w:left="1514" w:hanging="360"/>
      </w:pPr>
      <w:rPr>
        <w:rFonts w:hint="default" w:ascii="Arial" w:hAnsi="Arial"/>
        <w:b w:val="0"/>
        <w:i w:val="0"/>
        <w:sz w:val="20"/>
        <w:szCs w:val="20"/>
      </w:rPr>
    </w:lvl>
    <w:lvl w:ilvl="1" w:tentative="0">
      <w:start w:val="1"/>
      <w:numFmt w:val="lowerLetter"/>
      <w:lvlText w:val="%2."/>
      <w:lvlJc w:val="left"/>
      <w:pPr>
        <w:ind w:left="2234" w:hanging="360"/>
      </w:pPr>
    </w:lvl>
    <w:lvl w:ilvl="2" w:tentative="0">
      <w:start w:val="1"/>
      <w:numFmt w:val="lowerRoman"/>
      <w:lvlText w:val="%3."/>
      <w:lvlJc w:val="right"/>
      <w:pPr>
        <w:ind w:left="2954" w:hanging="180"/>
      </w:pPr>
    </w:lvl>
    <w:lvl w:ilvl="3" w:tentative="0">
      <w:start w:val="1"/>
      <w:numFmt w:val="decimal"/>
      <w:lvlText w:val="%4."/>
      <w:lvlJc w:val="left"/>
      <w:pPr>
        <w:ind w:left="3674" w:hanging="360"/>
      </w:pPr>
    </w:lvl>
    <w:lvl w:ilvl="4" w:tentative="0">
      <w:start w:val="1"/>
      <w:numFmt w:val="lowerLetter"/>
      <w:lvlText w:val="%5."/>
      <w:lvlJc w:val="left"/>
      <w:pPr>
        <w:ind w:left="4394" w:hanging="360"/>
      </w:pPr>
    </w:lvl>
    <w:lvl w:ilvl="5" w:tentative="0">
      <w:start w:val="1"/>
      <w:numFmt w:val="lowerRoman"/>
      <w:lvlText w:val="%6."/>
      <w:lvlJc w:val="right"/>
      <w:pPr>
        <w:ind w:left="5114" w:hanging="180"/>
      </w:pPr>
    </w:lvl>
    <w:lvl w:ilvl="6" w:tentative="0">
      <w:start w:val="1"/>
      <w:numFmt w:val="decimal"/>
      <w:lvlText w:val="%7."/>
      <w:lvlJc w:val="left"/>
      <w:pPr>
        <w:ind w:left="5834" w:hanging="360"/>
      </w:pPr>
    </w:lvl>
    <w:lvl w:ilvl="7" w:tentative="0">
      <w:start w:val="1"/>
      <w:numFmt w:val="lowerLetter"/>
      <w:lvlText w:val="%8."/>
      <w:lvlJc w:val="left"/>
      <w:pPr>
        <w:ind w:left="6554" w:hanging="360"/>
      </w:pPr>
    </w:lvl>
    <w:lvl w:ilvl="8" w:tentative="0">
      <w:start w:val="1"/>
      <w:numFmt w:val="lowerRoman"/>
      <w:lvlText w:val="%9."/>
      <w:lvlJc w:val="right"/>
      <w:pPr>
        <w:ind w:left="7274" w:hanging="180"/>
      </w:pPr>
    </w:lvl>
  </w:abstractNum>
  <w:abstractNum w:abstractNumId="20">
    <w:nsid w:val="3B781B2E"/>
    <w:multiLevelType w:val="multilevel"/>
    <w:tmpl w:val="3B781B2E"/>
    <w:lvl w:ilvl="0" w:tentative="0">
      <w:start w:val="1"/>
      <w:numFmt w:val="lowerLetter"/>
      <w:pStyle w:val="3"/>
      <w:lvlText w:val="%1)"/>
      <w:lvlJc w:val="left"/>
      <w:pPr>
        <w:ind w:left="1658" w:hanging="360"/>
      </w:pPr>
      <w:rPr>
        <w:rFonts w:hint="default"/>
      </w:rPr>
    </w:lvl>
    <w:lvl w:ilvl="1" w:tentative="0">
      <w:start w:val="1"/>
      <w:numFmt w:val="lowerLetter"/>
      <w:lvlText w:val="%2."/>
      <w:lvlJc w:val="left"/>
      <w:pPr>
        <w:ind w:left="2378" w:hanging="360"/>
      </w:pPr>
    </w:lvl>
    <w:lvl w:ilvl="2" w:tentative="0">
      <w:start w:val="1"/>
      <w:numFmt w:val="lowerRoman"/>
      <w:lvlText w:val="%3."/>
      <w:lvlJc w:val="right"/>
      <w:pPr>
        <w:ind w:left="3098" w:hanging="180"/>
      </w:pPr>
    </w:lvl>
    <w:lvl w:ilvl="3" w:tentative="0">
      <w:start w:val="1"/>
      <w:numFmt w:val="decimal"/>
      <w:lvlText w:val="%4."/>
      <w:lvlJc w:val="left"/>
      <w:pPr>
        <w:ind w:left="3818" w:hanging="360"/>
      </w:pPr>
    </w:lvl>
    <w:lvl w:ilvl="4" w:tentative="0">
      <w:start w:val="1"/>
      <w:numFmt w:val="lowerLetter"/>
      <w:lvlText w:val="%5."/>
      <w:lvlJc w:val="left"/>
      <w:pPr>
        <w:ind w:left="4538" w:hanging="360"/>
      </w:pPr>
    </w:lvl>
    <w:lvl w:ilvl="5" w:tentative="0">
      <w:start w:val="1"/>
      <w:numFmt w:val="lowerRoman"/>
      <w:lvlText w:val="%6."/>
      <w:lvlJc w:val="right"/>
      <w:pPr>
        <w:ind w:left="5258" w:hanging="180"/>
      </w:pPr>
    </w:lvl>
    <w:lvl w:ilvl="6" w:tentative="0">
      <w:start w:val="1"/>
      <w:numFmt w:val="decimal"/>
      <w:lvlText w:val="%7."/>
      <w:lvlJc w:val="left"/>
      <w:pPr>
        <w:ind w:left="5978" w:hanging="360"/>
      </w:pPr>
    </w:lvl>
    <w:lvl w:ilvl="7" w:tentative="0">
      <w:start w:val="1"/>
      <w:numFmt w:val="lowerLetter"/>
      <w:lvlText w:val="%8."/>
      <w:lvlJc w:val="left"/>
      <w:pPr>
        <w:ind w:left="6698" w:hanging="360"/>
      </w:pPr>
    </w:lvl>
    <w:lvl w:ilvl="8" w:tentative="0">
      <w:start w:val="1"/>
      <w:numFmt w:val="lowerRoman"/>
      <w:lvlText w:val="%9."/>
      <w:lvlJc w:val="right"/>
      <w:pPr>
        <w:ind w:left="7418" w:hanging="180"/>
      </w:pPr>
    </w:lvl>
  </w:abstractNum>
  <w:abstractNum w:abstractNumId="21">
    <w:nsid w:val="3BFB5102"/>
    <w:multiLevelType w:val="multilevel"/>
    <w:tmpl w:val="3BFB5102"/>
    <w:lvl w:ilvl="0" w:tentative="0">
      <w:start w:val="1"/>
      <w:numFmt w:val="bullet"/>
      <w:lvlText w:val="-"/>
      <w:lvlJc w:val="left"/>
      <w:pPr>
        <w:ind w:left="720" w:hanging="360"/>
      </w:pPr>
      <w:rPr>
        <w:rFonts w:hint="default" w:ascii="Courier New" w:hAnsi="Courier New"/>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22">
    <w:nsid w:val="48663F70"/>
    <w:multiLevelType w:val="multilevel"/>
    <w:tmpl w:val="48663F70"/>
    <w:lvl w:ilvl="0" w:tentative="0">
      <w:start w:val="1"/>
      <w:numFmt w:val="bullet"/>
      <w:lvlText w:val=""/>
      <w:lvlJc w:val="left"/>
      <w:pPr>
        <w:ind w:left="2625" w:hanging="360"/>
      </w:pPr>
      <w:rPr>
        <w:rFonts w:hint="default" w:ascii="Symbol" w:hAnsi="Symbol"/>
      </w:rPr>
    </w:lvl>
    <w:lvl w:ilvl="1" w:tentative="0">
      <w:start w:val="1"/>
      <w:numFmt w:val="bullet"/>
      <w:lvlText w:val="o"/>
      <w:lvlJc w:val="left"/>
      <w:pPr>
        <w:ind w:left="3345" w:hanging="360"/>
      </w:pPr>
      <w:rPr>
        <w:rFonts w:hint="default" w:ascii="Courier New" w:hAnsi="Courier New" w:cs="Courier New"/>
      </w:rPr>
    </w:lvl>
    <w:lvl w:ilvl="2" w:tentative="0">
      <w:start w:val="1"/>
      <w:numFmt w:val="bullet"/>
      <w:lvlText w:val=""/>
      <w:lvlJc w:val="left"/>
      <w:pPr>
        <w:ind w:left="4065" w:hanging="360"/>
      </w:pPr>
      <w:rPr>
        <w:rFonts w:hint="default" w:ascii="Wingdings" w:hAnsi="Wingdings"/>
      </w:rPr>
    </w:lvl>
    <w:lvl w:ilvl="3" w:tentative="0">
      <w:start w:val="1"/>
      <w:numFmt w:val="bullet"/>
      <w:lvlText w:val=""/>
      <w:lvlJc w:val="left"/>
      <w:pPr>
        <w:ind w:left="4785" w:hanging="360"/>
      </w:pPr>
      <w:rPr>
        <w:rFonts w:hint="default" w:ascii="Symbol" w:hAnsi="Symbol"/>
      </w:rPr>
    </w:lvl>
    <w:lvl w:ilvl="4" w:tentative="0">
      <w:start w:val="1"/>
      <w:numFmt w:val="bullet"/>
      <w:lvlText w:val="o"/>
      <w:lvlJc w:val="left"/>
      <w:pPr>
        <w:ind w:left="5505" w:hanging="360"/>
      </w:pPr>
      <w:rPr>
        <w:rFonts w:hint="default" w:ascii="Courier New" w:hAnsi="Courier New" w:cs="Courier New"/>
      </w:rPr>
    </w:lvl>
    <w:lvl w:ilvl="5" w:tentative="0">
      <w:start w:val="1"/>
      <w:numFmt w:val="bullet"/>
      <w:lvlText w:val=""/>
      <w:lvlJc w:val="left"/>
      <w:pPr>
        <w:ind w:left="6225" w:hanging="360"/>
      </w:pPr>
      <w:rPr>
        <w:rFonts w:hint="default" w:ascii="Wingdings" w:hAnsi="Wingdings"/>
      </w:rPr>
    </w:lvl>
    <w:lvl w:ilvl="6" w:tentative="0">
      <w:start w:val="1"/>
      <w:numFmt w:val="bullet"/>
      <w:lvlText w:val=""/>
      <w:lvlJc w:val="left"/>
      <w:pPr>
        <w:ind w:left="6945" w:hanging="360"/>
      </w:pPr>
      <w:rPr>
        <w:rFonts w:hint="default" w:ascii="Symbol" w:hAnsi="Symbol"/>
      </w:rPr>
    </w:lvl>
    <w:lvl w:ilvl="7" w:tentative="0">
      <w:start w:val="1"/>
      <w:numFmt w:val="bullet"/>
      <w:lvlText w:val="o"/>
      <w:lvlJc w:val="left"/>
      <w:pPr>
        <w:ind w:left="7665" w:hanging="360"/>
      </w:pPr>
      <w:rPr>
        <w:rFonts w:hint="default" w:ascii="Courier New" w:hAnsi="Courier New" w:cs="Courier New"/>
      </w:rPr>
    </w:lvl>
    <w:lvl w:ilvl="8" w:tentative="0">
      <w:start w:val="1"/>
      <w:numFmt w:val="bullet"/>
      <w:lvlText w:val=""/>
      <w:lvlJc w:val="left"/>
      <w:pPr>
        <w:ind w:left="8385" w:hanging="360"/>
      </w:pPr>
      <w:rPr>
        <w:rFonts w:hint="default" w:ascii="Wingdings" w:hAnsi="Wingdings"/>
      </w:rPr>
    </w:lvl>
  </w:abstractNum>
  <w:abstractNum w:abstractNumId="23">
    <w:nsid w:val="4C7739A3"/>
    <w:multiLevelType w:val="multilevel"/>
    <w:tmpl w:val="4C7739A3"/>
    <w:lvl w:ilvl="0" w:tentative="0">
      <w:start w:val="1"/>
      <w:numFmt w:val="lowerLetter"/>
      <w:lvlText w:val="%1)"/>
      <w:lvlJc w:val="left"/>
      <w:pPr>
        <w:ind w:left="1911" w:hanging="360"/>
      </w:pPr>
      <w:rPr>
        <w:rFonts w:hint="default" w:ascii="Arial" w:hAnsi="Arial"/>
        <w:b w:val="0"/>
        <w:i w:val="0"/>
        <w:sz w:val="20"/>
        <w:szCs w:val="20"/>
      </w:rPr>
    </w:lvl>
    <w:lvl w:ilvl="1" w:tentative="0">
      <w:start w:val="1"/>
      <w:numFmt w:val="lowerLetter"/>
      <w:lvlText w:val="%2."/>
      <w:lvlJc w:val="left"/>
      <w:pPr>
        <w:ind w:left="2631" w:hanging="360"/>
      </w:pPr>
    </w:lvl>
    <w:lvl w:ilvl="2" w:tentative="0">
      <w:start w:val="1"/>
      <w:numFmt w:val="lowerRoman"/>
      <w:lvlText w:val="%3."/>
      <w:lvlJc w:val="right"/>
      <w:pPr>
        <w:ind w:left="3351" w:hanging="180"/>
      </w:pPr>
    </w:lvl>
    <w:lvl w:ilvl="3" w:tentative="0">
      <w:start w:val="1"/>
      <w:numFmt w:val="decimal"/>
      <w:lvlText w:val="%4."/>
      <w:lvlJc w:val="left"/>
      <w:pPr>
        <w:ind w:left="4071" w:hanging="360"/>
      </w:pPr>
    </w:lvl>
    <w:lvl w:ilvl="4" w:tentative="0">
      <w:start w:val="1"/>
      <w:numFmt w:val="lowerLetter"/>
      <w:lvlText w:val="%5."/>
      <w:lvlJc w:val="left"/>
      <w:pPr>
        <w:ind w:left="4791" w:hanging="360"/>
      </w:pPr>
    </w:lvl>
    <w:lvl w:ilvl="5" w:tentative="0">
      <w:start w:val="1"/>
      <w:numFmt w:val="lowerRoman"/>
      <w:lvlText w:val="%6."/>
      <w:lvlJc w:val="right"/>
      <w:pPr>
        <w:ind w:left="5511" w:hanging="180"/>
      </w:pPr>
    </w:lvl>
    <w:lvl w:ilvl="6" w:tentative="0">
      <w:start w:val="1"/>
      <w:numFmt w:val="decimal"/>
      <w:lvlText w:val="%7."/>
      <w:lvlJc w:val="left"/>
      <w:pPr>
        <w:ind w:left="6231" w:hanging="360"/>
      </w:pPr>
    </w:lvl>
    <w:lvl w:ilvl="7" w:tentative="0">
      <w:start w:val="1"/>
      <w:numFmt w:val="lowerLetter"/>
      <w:lvlText w:val="%8."/>
      <w:lvlJc w:val="left"/>
      <w:pPr>
        <w:ind w:left="6951" w:hanging="360"/>
      </w:pPr>
    </w:lvl>
    <w:lvl w:ilvl="8" w:tentative="0">
      <w:start w:val="1"/>
      <w:numFmt w:val="lowerRoman"/>
      <w:lvlText w:val="%9."/>
      <w:lvlJc w:val="right"/>
      <w:pPr>
        <w:ind w:left="7671" w:hanging="180"/>
      </w:pPr>
    </w:lvl>
  </w:abstractNum>
  <w:abstractNum w:abstractNumId="24">
    <w:nsid w:val="51FB5CFA"/>
    <w:multiLevelType w:val="multilevel"/>
    <w:tmpl w:val="51FB5CFA"/>
    <w:lvl w:ilvl="0" w:tentative="0">
      <w:start w:val="1"/>
      <w:numFmt w:val="lowerLetter"/>
      <w:lvlText w:val="%1)"/>
      <w:lvlJc w:val="left"/>
      <w:pPr>
        <w:ind w:left="720" w:hanging="360"/>
      </w:pPr>
      <w:rPr>
        <w:rFonts w:hint="default" w:ascii="Arial" w:hAnsi="Arial"/>
        <w:b w:val="0"/>
        <w:i w:val="0"/>
        <w:sz w:val="23"/>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25">
    <w:nsid w:val="570A5415"/>
    <w:multiLevelType w:val="multilevel"/>
    <w:tmpl w:val="570A5415"/>
    <w:lvl w:ilvl="0" w:tentative="0">
      <w:start w:val="1"/>
      <w:numFmt w:val="lowerLetter"/>
      <w:lvlText w:val="%1)"/>
      <w:lvlJc w:val="left"/>
      <w:pPr>
        <w:ind w:left="720" w:hanging="360"/>
      </w:pPr>
      <w:rPr>
        <w:rFonts w:hint="default" w:ascii="Arial" w:hAnsi="Arial"/>
        <w:b w:val="0"/>
        <w:i w:val="0"/>
        <w:sz w:val="23"/>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26">
    <w:nsid w:val="574D6087"/>
    <w:multiLevelType w:val="multilevel"/>
    <w:tmpl w:val="574D6087"/>
    <w:lvl w:ilvl="0" w:tentative="0">
      <w:start w:val="1"/>
      <w:numFmt w:val="bullet"/>
      <w:lvlText w:val="-"/>
      <w:lvlJc w:val="left"/>
      <w:pPr>
        <w:ind w:left="1933" w:hanging="360"/>
      </w:pPr>
      <w:rPr>
        <w:rFonts w:hint="default" w:ascii="Courier New" w:hAnsi="Courier New"/>
      </w:rPr>
    </w:lvl>
    <w:lvl w:ilvl="1" w:tentative="0">
      <w:start w:val="1"/>
      <w:numFmt w:val="bullet"/>
      <w:lvlText w:val="o"/>
      <w:lvlJc w:val="left"/>
      <w:pPr>
        <w:ind w:left="2653" w:hanging="360"/>
      </w:pPr>
      <w:rPr>
        <w:rFonts w:hint="default" w:ascii="Courier New" w:hAnsi="Courier New" w:cs="Courier New"/>
      </w:rPr>
    </w:lvl>
    <w:lvl w:ilvl="2" w:tentative="0">
      <w:start w:val="1"/>
      <w:numFmt w:val="bullet"/>
      <w:lvlText w:val=""/>
      <w:lvlJc w:val="left"/>
      <w:pPr>
        <w:ind w:left="3373" w:hanging="360"/>
      </w:pPr>
      <w:rPr>
        <w:rFonts w:hint="default" w:ascii="Wingdings" w:hAnsi="Wingdings"/>
      </w:rPr>
    </w:lvl>
    <w:lvl w:ilvl="3" w:tentative="0">
      <w:start w:val="1"/>
      <w:numFmt w:val="bullet"/>
      <w:lvlText w:val=""/>
      <w:lvlJc w:val="left"/>
      <w:pPr>
        <w:ind w:left="4093" w:hanging="360"/>
      </w:pPr>
      <w:rPr>
        <w:rFonts w:hint="default" w:ascii="Symbol" w:hAnsi="Symbol"/>
      </w:rPr>
    </w:lvl>
    <w:lvl w:ilvl="4" w:tentative="0">
      <w:start w:val="1"/>
      <w:numFmt w:val="bullet"/>
      <w:lvlText w:val="o"/>
      <w:lvlJc w:val="left"/>
      <w:pPr>
        <w:ind w:left="4813" w:hanging="360"/>
      </w:pPr>
      <w:rPr>
        <w:rFonts w:hint="default" w:ascii="Courier New" w:hAnsi="Courier New" w:cs="Courier New"/>
      </w:rPr>
    </w:lvl>
    <w:lvl w:ilvl="5" w:tentative="0">
      <w:start w:val="1"/>
      <w:numFmt w:val="bullet"/>
      <w:lvlText w:val=""/>
      <w:lvlJc w:val="left"/>
      <w:pPr>
        <w:ind w:left="5533" w:hanging="360"/>
      </w:pPr>
      <w:rPr>
        <w:rFonts w:hint="default" w:ascii="Wingdings" w:hAnsi="Wingdings"/>
      </w:rPr>
    </w:lvl>
    <w:lvl w:ilvl="6" w:tentative="0">
      <w:start w:val="1"/>
      <w:numFmt w:val="bullet"/>
      <w:lvlText w:val=""/>
      <w:lvlJc w:val="left"/>
      <w:pPr>
        <w:ind w:left="6253" w:hanging="360"/>
      </w:pPr>
      <w:rPr>
        <w:rFonts w:hint="default" w:ascii="Symbol" w:hAnsi="Symbol"/>
      </w:rPr>
    </w:lvl>
    <w:lvl w:ilvl="7" w:tentative="0">
      <w:start w:val="1"/>
      <w:numFmt w:val="bullet"/>
      <w:lvlText w:val="o"/>
      <w:lvlJc w:val="left"/>
      <w:pPr>
        <w:ind w:left="6973" w:hanging="360"/>
      </w:pPr>
      <w:rPr>
        <w:rFonts w:hint="default" w:ascii="Courier New" w:hAnsi="Courier New" w:cs="Courier New"/>
      </w:rPr>
    </w:lvl>
    <w:lvl w:ilvl="8" w:tentative="0">
      <w:start w:val="1"/>
      <w:numFmt w:val="bullet"/>
      <w:lvlText w:val=""/>
      <w:lvlJc w:val="left"/>
      <w:pPr>
        <w:ind w:left="7693" w:hanging="360"/>
      </w:pPr>
      <w:rPr>
        <w:rFonts w:hint="default" w:ascii="Wingdings" w:hAnsi="Wingdings"/>
      </w:rPr>
    </w:lvl>
  </w:abstractNum>
  <w:abstractNum w:abstractNumId="27">
    <w:nsid w:val="5A0F32CC"/>
    <w:multiLevelType w:val="multilevel"/>
    <w:tmpl w:val="5A0F32CC"/>
    <w:lvl w:ilvl="0" w:tentative="0">
      <w:start w:val="1"/>
      <w:numFmt w:val="lowerLetter"/>
      <w:lvlText w:val="%1)"/>
      <w:lvlJc w:val="left"/>
      <w:pPr>
        <w:ind w:left="720" w:hanging="360"/>
      </w:pPr>
      <w:rPr>
        <w:rFonts w:hint="default" w:ascii="Arial" w:hAnsi="Arial"/>
        <w:b w:val="0"/>
        <w:i w:val="0"/>
        <w:sz w:val="23"/>
      </w:rPr>
    </w:lvl>
    <w:lvl w:ilvl="1" w:tentative="0">
      <w:start w:val="1"/>
      <w:numFmt w:val="lowerLetter"/>
      <w:lvlText w:val="%2.1"/>
      <w:lvlJc w:val="left"/>
      <w:pPr>
        <w:ind w:left="1440" w:hanging="360"/>
      </w:pPr>
      <w:rPr>
        <w:rFonts w:hint="default"/>
      </w:r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28">
    <w:nsid w:val="5F0B70C5"/>
    <w:multiLevelType w:val="multilevel"/>
    <w:tmpl w:val="5F0B70C5"/>
    <w:lvl w:ilvl="0" w:tentative="0">
      <w:start w:val="1"/>
      <w:numFmt w:val="lowerLetter"/>
      <w:lvlText w:val="%1)"/>
      <w:lvlJc w:val="left"/>
      <w:pPr>
        <w:ind w:left="720" w:hanging="360"/>
      </w:pPr>
      <w:rPr>
        <w:rFonts w:hint="default"/>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29">
    <w:nsid w:val="67AA33D7"/>
    <w:multiLevelType w:val="multilevel"/>
    <w:tmpl w:val="67AA33D7"/>
    <w:lvl w:ilvl="0" w:tentative="0">
      <w:start w:val="1"/>
      <w:numFmt w:val="lowerLetter"/>
      <w:lvlText w:val="%1)"/>
      <w:lvlJc w:val="left"/>
      <w:pPr>
        <w:ind w:left="1713" w:hanging="360"/>
      </w:pPr>
      <w:rPr>
        <w:rFonts w:hint="default" w:ascii="Arial" w:hAnsi="Arial"/>
        <w:b w:val="0"/>
        <w:i w:val="0"/>
        <w:color w:val="auto"/>
        <w:sz w:val="22"/>
      </w:rPr>
    </w:lvl>
    <w:lvl w:ilvl="1" w:tentative="0">
      <w:start w:val="1"/>
      <w:numFmt w:val="lowerLetter"/>
      <w:lvlText w:val="%2."/>
      <w:lvlJc w:val="left"/>
      <w:pPr>
        <w:ind w:left="2433" w:hanging="360"/>
      </w:pPr>
    </w:lvl>
    <w:lvl w:ilvl="2" w:tentative="0">
      <w:start w:val="1"/>
      <w:numFmt w:val="lowerRoman"/>
      <w:lvlText w:val="%3."/>
      <w:lvlJc w:val="right"/>
      <w:pPr>
        <w:ind w:left="3153" w:hanging="180"/>
      </w:pPr>
    </w:lvl>
    <w:lvl w:ilvl="3" w:tentative="0">
      <w:start w:val="1"/>
      <w:numFmt w:val="decimal"/>
      <w:lvlText w:val="%4."/>
      <w:lvlJc w:val="left"/>
      <w:pPr>
        <w:ind w:left="3873" w:hanging="360"/>
      </w:pPr>
    </w:lvl>
    <w:lvl w:ilvl="4" w:tentative="0">
      <w:start w:val="1"/>
      <w:numFmt w:val="lowerLetter"/>
      <w:lvlText w:val="%5."/>
      <w:lvlJc w:val="left"/>
      <w:pPr>
        <w:ind w:left="4593" w:hanging="360"/>
      </w:pPr>
    </w:lvl>
    <w:lvl w:ilvl="5" w:tentative="0">
      <w:start w:val="1"/>
      <w:numFmt w:val="lowerRoman"/>
      <w:lvlText w:val="%6."/>
      <w:lvlJc w:val="right"/>
      <w:pPr>
        <w:ind w:left="5313" w:hanging="180"/>
      </w:pPr>
    </w:lvl>
    <w:lvl w:ilvl="6" w:tentative="0">
      <w:start w:val="1"/>
      <w:numFmt w:val="decimal"/>
      <w:lvlText w:val="%7."/>
      <w:lvlJc w:val="left"/>
      <w:pPr>
        <w:ind w:left="6033" w:hanging="360"/>
      </w:pPr>
    </w:lvl>
    <w:lvl w:ilvl="7" w:tentative="0">
      <w:start w:val="1"/>
      <w:numFmt w:val="lowerLetter"/>
      <w:lvlText w:val="%8."/>
      <w:lvlJc w:val="left"/>
      <w:pPr>
        <w:ind w:left="6753" w:hanging="360"/>
      </w:pPr>
    </w:lvl>
    <w:lvl w:ilvl="8" w:tentative="0">
      <w:start w:val="1"/>
      <w:numFmt w:val="lowerRoman"/>
      <w:lvlText w:val="%9."/>
      <w:lvlJc w:val="right"/>
      <w:pPr>
        <w:ind w:left="7473" w:hanging="180"/>
      </w:pPr>
    </w:lvl>
  </w:abstractNum>
  <w:abstractNum w:abstractNumId="30">
    <w:nsid w:val="695528B2"/>
    <w:multiLevelType w:val="multilevel"/>
    <w:tmpl w:val="695528B2"/>
    <w:lvl w:ilvl="0" w:tentative="0">
      <w:start w:val="1"/>
      <w:numFmt w:val="lowerLetter"/>
      <w:lvlText w:val="%1)"/>
      <w:lvlJc w:val="left"/>
      <w:pPr>
        <w:ind w:left="720" w:hanging="360"/>
      </w:pPr>
      <w:rPr>
        <w:rFonts w:hint="default" w:ascii="Arial" w:hAnsi="Arial"/>
        <w:b w:val="0"/>
        <w:i w:val="0"/>
        <w:sz w:val="23"/>
      </w:rPr>
    </w:lvl>
    <w:lvl w:ilvl="1" w:tentative="0">
      <w:start w:val="1"/>
      <w:numFmt w:val="decimal"/>
      <w:lvlText w:val="c%2)"/>
      <w:lvlJc w:val="left"/>
      <w:pPr>
        <w:ind w:left="1440" w:hanging="360"/>
      </w:pPr>
      <w:rPr>
        <w:rFonts w:hint="default" w:ascii="Arial" w:hAnsi="Arial"/>
        <w:b w:val="0"/>
        <w:i w:val="0"/>
        <w:color w:val="auto"/>
        <w:sz w:val="20"/>
      </w:r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31">
    <w:nsid w:val="6ADE17D2"/>
    <w:multiLevelType w:val="multilevel"/>
    <w:tmpl w:val="6ADE17D2"/>
    <w:lvl w:ilvl="0" w:tentative="0">
      <w:start w:val="1"/>
      <w:numFmt w:val="bullet"/>
      <w:lvlText w:val="-"/>
      <w:lvlJc w:val="left"/>
      <w:pPr>
        <w:ind w:left="1933" w:hanging="360"/>
      </w:pPr>
      <w:rPr>
        <w:rFonts w:hint="default" w:ascii="Courier New" w:hAnsi="Courier New"/>
      </w:rPr>
    </w:lvl>
    <w:lvl w:ilvl="1" w:tentative="0">
      <w:start w:val="1"/>
      <w:numFmt w:val="bullet"/>
      <w:lvlText w:val="o"/>
      <w:lvlJc w:val="left"/>
      <w:pPr>
        <w:ind w:left="2653" w:hanging="360"/>
      </w:pPr>
      <w:rPr>
        <w:rFonts w:hint="default" w:ascii="Courier New" w:hAnsi="Courier New" w:cs="Courier New"/>
      </w:rPr>
    </w:lvl>
    <w:lvl w:ilvl="2" w:tentative="0">
      <w:start w:val="1"/>
      <w:numFmt w:val="bullet"/>
      <w:lvlText w:val=""/>
      <w:lvlJc w:val="left"/>
      <w:pPr>
        <w:ind w:left="3373" w:hanging="360"/>
      </w:pPr>
      <w:rPr>
        <w:rFonts w:hint="default" w:ascii="Wingdings" w:hAnsi="Wingdings"/>
      </w:rPr>
    </w:lvl>
    <w:lvl w:ilvl="3" w:tentative="0">
      <w:start w:val="1"/>
      <w:numFmt w:val="bullet"/>
      <w:lvlText w:val=""/>
      <w:lvlJc w:val="left"/>
      <w:pPr>
        <w:ind w:left="4093" w:hanging="360"/>
      </w:pPr>
      <w:rPr>
        <w:rFonts w:hint="default" w:ascii="Symbol" w:hAnsi="Symbol"/>
      </w:rPr>
    </w:lvl>
    <w:lvl w:ilvl="4" w:tentative="0">
      <w:start w:val="1"/>
      <w:numFmt w:val="bullet"/>
      <w:lvlText w:val="o"/>
      <w:lvlJc w:val="left"/>
      <w:pPr>
        <w:ind w:left="4813" w:hanging="360"/>
      </w:pPr>
      <w:rPr>
        <w:rFonts w:hint="default" w:ascii="Courier New" w:hAnsi="Courier New" w:cs="Courier New"/>
      </w:rPr>
    </w:lvl>
    <w:lvl w:ilvl="5" w:tentative="0">
      <w:start w:val="1"/>
      <w:numFmt w:val="bullet"/>
      <w:lvlText w:val=""/>
      <w:lvlJc w:val="left"/>
      <w:pPr>
        <w:ind w:left="5533" w:hanging="360"/>
      </w:pPr>
      <w:rPr>
        <w:rFonts w:hint="default" w:ascii="Wingdings" w:hAnsi="Wingdings"/>
      </w:rPr>
    </w:lvl>
    <w:lvl w:ilvl="6" w:tentative="0">
      <w:start w:val="1"/>
      <w:numFmt w:val="bullet"/>
      <w:lvlText w:val=""/>
      <w:lvlJc w:val="left"/>
      <w:pPr>
        <w:ind w:left="6253" w:hanging="360"/>
      </w:pPr>
      <w:rPr>
        <w:rFonts w:hint="default" w:ascii="Symbol" w:hAnsi="Symbol"/>
      </w:rPr>
    </w:lvl>
    <w:lvl w:ilvl="7" w:tentative="0">
      <w:start w:val="1"/>
      <w:numFmt w:val="bullet"/>
      <w:lvlText w:val="o"/>
      <w:lvlJc w:val="left"/>
      <w:pPr>
        <w:ind w:left="6973" w:hanging="360"/>
      </w:pPr>
      <w:rPr>
        <w:rFonts w:hint="default" w:ascii="Courier New" w:hAnsi="Courier New" w:cs="Courier New"/>
      </w:rPr>
    </w:lvl>
    <w:lvl w:ilvl="8" w:tentative="0">
      <w:start w:val="1"/>
      <w:numFmt w:val="bullet"/>
      <w:lvlText w:val=""/>
      <w:lvlJc w:val="left"/>
      <w:pPr>
        <w:ind w:left="7693" w:hanging="360"/>
      </w:pPr>
      <w:rPr>
        <w:rFonts w:hint="default" w:ascii="Wingdings" w:hAnsi="Wingdings"/>
      </w:rPr>
    </w:lvl>
  </w:abstractNum>
  <w:abstractNum w:abstractNumId="32">
    <w:nsid w:val="71EE7815"/>
    <w:multiLevelType w:val="multilevel"/>
    <w:tmpl w:val="71EE7815"/>
    <w:lvl w:ilvl="0" w:tentative="0">
      <w:start w:val="1"/>
      <w:numFmt w:val="lowerLetter"/>
      <w:lvlText w:val="%1)"/>
      <w:lvlJc w:val="left"/>
      <w:pPr>
        <w:ind w:left="786" w:hanging="360"/>
      </w:pPr>
      <w:rPr>
        <w:rFonts w:hint="default"/>
        <w:sz w:val="23"/>
      </w:rPr>
    </w:lvl>
    <w:lvl w:ilvl="1" w:tentative="0">
      <w:start w:val="1"/>
      <w:numFmt w:val="lowerLetter"/>
      <w:lvlText w:val="%2."/>
      <w:lvlJc w:val="left"/>
      <w:pPr>
        <w:ind w:left="1506" w:hanging="360"/>
      </w:pPr>
    </w:lvl>
    <w:lvl w:ilvl="2" w:tentative="0">
      <w:start w:val="1"/>
      <w:numFmt w:val="lowerRoman"/>
      <w:lvlText w:val="%3."/>
      <w:lvlJc w:val="right"/>
      <w:pPr>
        <w:ind w:left="2226" w:hanging="180"/>
      </w:pPr>
    </w:lvl>
    <w:lvl w:ilvl="3" w:tentative="0">
      <w:start w:val="1"/>
      <w:numFmt w:val="decimal"/>
      <w:lvlText w:val="%4."/>
      <w:lvlJc w:val="left"/>
      <w:pPr>
        <w:ind w:left="2946" w:hanging="360"/>
      </w:pPr>
    </w:lvl>
    <w:lvl w:ilvl="4" w:tentative="0">
      <w:start w:val="1"/>
      <w:numFmt w:val="lowerLetter"/>
      <w:lvlText w:val="%5."/>
      <w:lvlJc w:val="left"/>
      <w:pPr>
        <w:ind w:left="3666" w:hanging="360"/>
      </w:pPr>
    </w:lvl>
    <w:lvl w:ilvl="5" w:tentative="0">
      <w:start w:val="1"/>
      <w:numFmt w:val="lowerRoman"/>
      <w:lvlText w:val="%6."/>
      <w:lvlJc w:val="right"/>
      <w:pPr>
        <w:ind w:left="4386" w:hanging="180"/>
      </w:pPr>
    </w:lvl>
    <w:lvl w:ilvl="6" w:tentative="0">
      <w:start w:val="1"/>
      <w:numFmt w:val="decimal"/>
      <w:lvlText w:val="%7."/>
      <w:lvlJc w:val="left"/>
      <w:pPr>
        <w:ind w:left="5106" w:hanging="360"/>
      </w:pPr>
    </w:lvl>
    <w:lvl w:ilvl="7" w:tentative="0">
      <w:start w:val="1"/>
      <w:numFmt w:val="lowerLetter"/>
      <w:lvlText w:val="%8."/>
      <w:lvlJc w:val="left"/>
      <w:pPr>
        <w:ind w:left="5826" w:hanging="360"/>
      </w:pPr>
    </w:lvl>
    <w:lvl w:ilvl="8" w:tentative="0">
      <w:start w:val="1"/>
      <w:numFmt w:val="lowerRoman"/>
      <w:lvlText w:val="%9."/>
      <w:lvlJc w:val="right"/>
      <w:pPr>
        <w:ind w:left="6546" w:hanging="180"/>
      </w:pPr>
    </w:lvl>
  </w:abstractNum>
  <w:abstractNum w:abstractNumId="33">
    <w:nsid w:val="729B79B7"/>
    <w:multiLevelType w:val="multilevel"/>
    <w:tmpl w:val="729B79B7"/>
    <w:lvl w:ilvl="0" w:tentative="0">
      <w:start w:val="1"/>
      <w:numFmt w:val="bullet"/>
      <w:lvlText w:val="-"/>
      <w:lvlJc w:val="left"/>
      <w:pPr>
        <w:ind w:left="720" w:hanging="360"/>
      </w:pPr>
      <w:rPr>
        <w:rFonts w:hint="default" w:ascii="Courier New" w:hAnsi="Courier New"/>
      </w:rPr>
    </w:lvl>
    <w:lvl w:ilvl="1" w:tentative="0">
      <w:start w:val="1"/>
      <w:numFmt w:val="bullet"/>
      <w:lvlText w:val="o"/>
      <w:lvlJc w:val="left"/>
      <w:pPr>
        <w:ind w:left="1440" w:hanging="360"/>
      </w:pPr>
      <w:rPr>
        <w:rFonts w:hint="default" w:ascii="Courier New" w:hAnsi="Courier New" w:cs="Courier New"/>
      </w:rPr>
    </w:lvl>
    <w:lvl w:ilvl="2" w:tentative="0">
      <w:start w:val="1"/>
      <w:numFmt w:val="bullet"/>
      <w:lvlText w:val=""/>
      <w:lvlJc w:val="left"/>
      <w:pPr>
        <w:ind w:left="2160" w:hanging="360"/>
      </w:pPr>
      <w:rPr>
        <w:rFonts w:hint="default" w:ascii="Wingdings" w:hAnsi="Wingdings"/>
      </w:rPr>
    </w:lvl>
    <w:lvl w:ilvl="3" w:tentative="0">
      <w:start w:val="1"/>
      <w:numFmt w:val="bullet"/>
      <w:lvlText w:val=""/>
      <w:lvlJc w:val="left"/>
      <w:pPr>
        <w:ind w:left="2880" w:hanging="360"/>
      </w:pPr>
      <w:rPr>
        <w:rFonts w:hint="default" w:ascii="Symbol" w:hAnsi="Symbol"/>
      </w:rPr>
    </w:lvl>
    <w:lvl w:ilvl="4" w:tentative="0">
      <w:start w:val="1"/>
      <w:numFmt w:val="bullet"/>
      <w:lvlText w:val="o"/>
      <w:lvlJc w:val="left"/>
      <w:pPr>
        <w:ind w:left="3600" w:hanging="360"/>
      </w:pPr>
      <w:rPr>
        <w:rFonts w:hint="default" w:ascii="Courier New" w:hAnsi="Courier New" w:cs="Courier New"/>
      </w:rPr>
    </w:lvl>
    <w:lvl w:ilvl="5" w:tentative="0">
      <w:start w:val="1"/>
      <w:numFmt w:val="bullet"/>
      <w:lvlText w:val=""/>
      <w:lvlJc w:val="left"/>
      <w:pPr>
        <w:ind w:left="4320" w:hanging="360"/>
      </w:pPr>
      <w:rPr>
        <w:rFonts w:hint="default" w:ascii="Wingdings" w:hAnsi="Wingdings"/>
      </w:rPr>
    </w:lvl>
    <w:lvl w:ilvl="6" w:tentative="0">
      <w:start w:val="1"/>
      <w:numFmt w:val="bullet"/>
      <w:lvlText w:val=""/>
      <w:lvlJc w:val="left"/>
      <w:pPr>
        <w:ind w:left="5040" w:hanging="360"/>
      </w:pPr>
      <w:rPr>
        <w:rFonts w:hint="default" w:ascii="Symbol" w:hAnsi="Symbol"/>
      </w:rPr>
    </w:lvl>
    <w:lvl w:ilvl="7" w:tentative="0">
      <w:start w:val="1"/>
      <w:numFmt w:val="bullet"/>
      <w:lvlText w:val="o"/>
      <w:lvlJc w:val="left"/>
      <w:pPr>
        <w:ind w:left="5760" w:hanging="360"/>
      </w:pPr>
      <w:rPr>
        <w:rFonts w:hint="default" w:ascii="Courier New" w:hAnsi="Courier New" w:cs="Courier New"/>
      </w:rPr>
    </w:lvl>
    <w:lvl w:ilvl="8" w:tentative="0">
      <w:start w:val="1"/>
      <w:numFmt w:val="bullet"/>
      <w:lvlText w:val=""/>
      <w:lvlJc w:val="left"/>
      <w:pPr>
        <w:ind w:left="6480" w:hanging="360"/>
      </w:pPr>
      <w:rPr>
        <w:rFonts w:hint="default" w:ascii="Wingdings" w:hAnsi="Wingdings"/>
      </w:rPr>
    </w:lvl>
  </w:abstractNum>
  <w:abstractNum w:abstractNumId="34">
    <w:nsid w:val="75D95B23"/>
    <w:multiLevelType w:val="multilevel"/>
    <w:tmpl w:val="75D95B23"/>
    <w:lvl w:ilvl="0" w:tentative="0">
      <w:start w:val="1"/>
      <w:numFmt w:val="lowerLetter"/>
      <w:lvlText w:val="%1)"/>
      <w:lvlJc w:val="left"/>
      <w:pPr>
        <w:ind w:left="720" w:hanging="360"/>
      </w:pPr>
      <w:rPr>
        <w:rFonts w:hint="default" w:ascii="Arial" w:hAnsi="Arial"/>
        <w:b w:val="0"/>
        <w:i w:val="0"/>
        <w:sz w:val="23"/>
      </w:r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35">
    <w:nsid w:val="7C7A2C93"/>
    <w:multiLevelType w:val="multilevel"/>
    <w:tmpl w:val="7C7A2C93"/>
    <w:lvl w:ilvl="0" w:tentative="0">
      <w:start w:val="1"/>
      <w:numFmt w:val="bullet"/>
      <w:lvlText w:val="-"/>
      <w:lvlJc w:val="left"/>
      <w:pPr>
        <w:ind w:left="2412" w:hanging="360"/>
      </w:pPr>
      <w:rPr>
        <w:rFonts w:hint="default" w:ascii="Courier New" w:hAnsi="Courier New"/>
      </w:rPr>
    </w:lvl>
    <w:lvl w:ilvl="1" w:tentative="0">
      <w:start w:val="1"/>
      <w:numFmt w:val="bullet"/>
      <w:lvlText w:val="o"/>
      <w:lvlJc w:val="left"/>
      <w:pPr>
        <w:ind w:left="3132" w:hanging="360"/>
      </w:pPr>
      <w:rPr>
        <w:rFonts w:hint="default" w:ascii="Courier New" w:hAnsi="Courier New" w:cs="Courier New"/>
      </w:rPr>
    </w:lvl>
    <w:lvl w:ilvl="2" w:tentative="0">
      <w:start w:val="1"/>
      <w:numFmt w:val="bullet"/>
      <w:lvlText w:val=""/>
      <w:lvlJc w:val="left"/>
      <w:pPr>
        <w:ind w:left="3852" w:hanging="360"/>
      </w:pPr>
      <w:rPr>
        <w:rFonts w:hint="default" w:ascii="Wingdings" w:hAnsi="Wingdings"/>
      </w:rPr>
    </w:lvl>
    <w:lvl w:ilvl="3" w:tentative="0">
      <w:start w:val="1"/>
      <w:numFmt w:val="bullet"/>
      <w:lvlText w:val=""/>
      <w:lvlJc w:val="left"/>
      <w:pPr>
        <w:ind w:left="4572" w:hanging="360"/>
      </w:pPr>
      <w:rPr>
        <w:rFonts w:hint="default" w:ascii="Symbol" w:hAnsi="Symbol"/>
      </w:rPr>
    </w:lvl>
    <w:lvl w:ilvl="4" w:tentative="0">
      <w:start w:val="1"/>
      <w:numFmt w:val="bullet"/>
      <w:lvlText w:val="o"/>
      <w:lvlJc w:val="left"/>
      <w:pPr>
        <w:ind w:left="5292" w:hanging="360"/>
      </w:pPr>
      <w:rPr>
        <w:rFonts w:hint="default" w:ascii="Courier New" w:hAnsi="Courier New" w:cs="Courier New"/>
      </w:rPr>
    </w:lvl>
    <w:lvl w:ilvl="5" w:tentative="0">
      <w:start w:val="1"/>
      <w:numFmt w:val="bullet"/>
      <w:lvlText w:val=""/>
      <w:lvlJc w:val="left"/>
      <w:pPr>
        <w:ind w:left="6012" w:hanging="360"/>
      </w:pPr>
      <w:rPr>
        <w:rFonts w:hint="default" w:ascii="Wingdings" w:hAnsi="Wingdings"/>
      </w:rPr>
    </w:lvl>
    <w:lvl w:ilvl="6" w:tentative="0">
      <w:start w:val="1"/>
      <w:numFmt w:val="bullet"/>
      <w:lvlText w:val=""/>
      <w:lvlJc w:val="left"/>
      <w:pPr>
        <w:ind w:left="6732" w:hanging="360"/>
      </w:pPr>
      <w:rPr>
        <w:rFonts w:hint="default" w:ascii="Symbol" w:hAnsi="Symbol"/>
      </w:rPr>
    </w:lvl>
    <w:lvl w:ilvl="7" w:tentative="0">
      <w:start w:val="1"/>
      <w:numFmt w:val="bullet"/>
      <w:lvlText w:val="o"/>
      <w:lvlJc w:val="left"/>
      <w:pPr>
        <w:ind w:left="7452" w:hanging="360"/>
      </w:pPr>
      <w:rPr>
        <w:rFonts w:hint="default" w:ascii="Courier New" w:hAnsi="Courier New" w:cs="Courier New"/>
      </w:rPr>
    </w:lvl>
    <w:lvl w:ilvl="8" w:tentative="0">
      <w:start w:val="1"/>
      <w:numFmt w:val="bullet"/>
      <w:lvlText w:val=""/>
      <w:lvlJc w:val="left"/>
      <w:pPr>
        <w:ind w:left="8172" w:hanging="360"/>
      </w:pPr>
      <w:rPr>
        <w:rFonts w:hint="default" w:ascii="Wingdings" w:hAnsi="Wingdings"/>
      </w:rPr>
    </w:lvl>
  </w:abstractNum>
  <w:abstractNum w:abstractNumId="36">
    <w:nsid w:val="7E490CE9"/>
    <w:multiLevelType w:val="multilevel"/>
    <w:tmpl w:val="7E490CE9"/>
    <w:lvl w:ilvl="0" w:tentative="0">
      <w:start w:val="1"/>
      <w:numFmt w:val="lowerLetter"/>
      <w:lvlText w:val="%1)"/>
      <w:lvlJc w:val="left"/>
      <w:pPr>
        <w:ind w:left="720" w:hanging="360"/>
      </w:pPr>
      <w:rPr>
        <w:rFonts w:hint="default" w:ascii="Arial" w:hAnsi="Arial"/>
        <w:b w:val="0"/>
        <w:i w:val="0"/>
        <w:sz w:val="20"/>
        <w:szCs w:val="20"/>
      </w:rPr>
    </w:lvl>
    <w:lvl w:ilvl="1" w:tentative="0">
      <w:start w:val="1"/>
      <w:numFmt w:val="lowerRoman"/>
      <w:lvlText w:val="%2."/>
      <w:lvlJc w:val="left"/>
      <w:pPr>
        <w:ind w:left="1440" w:hanging="360"/>
      </w:pPr>
      <w:rPr>
        <w:rFonts w:hint="default"/>
      </w:r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abstractNum w:abstractNumId="37">
    <w:nsid w:val="7FB17C14"/>
    <w:multiLevelType w:val="multilevel"/>
    <w:tmpl w:val="7FB17C14"/>
    <w:lvl w:ilvl="0" w:tentative="0">
      <w:start w:val="1"/>
      <w:numFmt w:val="lowerRoman"/>
      <w:lvlText w:val="%1."/>
      <w:lvlJc w:val="right"/>
      <w:pPr>
        <w:ind w:left="720" w:hanging="360"/>
      </w:pPr>
    </w:lvl>
    <w:lvl w:ilvl="1" w:tentative="0">
      <w:start w:val="1"/>
      <w:numFmt w:val="lowerLetter"/>
      <w:lvlText w:val="%2."/>
      <w:lvlJc w:val="left"/>
      <w:pPr>
        <w:ind w:left="1440" w:hanging="360"/>
      </w:pPr>
    </w:lvl>
    <w:lvl w:ilvl="2" w:tentative="0">
      <w:start w:val="1"/>
      <w:numFmt w:val="lowerRoman"/>
      <w:lvlText w:val="%3."/>
      <w:lvlJc w:val="right"/>
      <w:pPr>
        <w:ind w:left="2160" w:hanging="180"/>
      </w:pPr>
    </w:lvl>
    <w:lvl w:ilvl="3" w:tentative="0">
      <w:start w:val="1"/>
      <w:numFmt w:val="decimal"/>
      <w:lvlText w:val="%4."/>
      <w:lvlJc w:val="left"/>
      <w:pPr>
        <w:ind w:left="2880" w:hanging="360"/>
      </w:pPr>
    </w:lvl>
    <w:lvl w:ilvl="4" w:tentative="0">
      <w:start w:val="1"/>
      <w:numFmt w:val="lowerLetter"/>
      <w:lvlText w:val="%5."/>
      <w:lvlJc w:val="left"/>
      <w:pPr>
        <w:ind w:left="3600" w:hanging="360"/>
      </w:pPr>
    </w:lvl>
    <w:lvl w:ilvl="5" w:tentative="0">
      <w:start w:val="1"/>
      <w:numFmt w:val="lowerRoman"/>
      <w:lvlText w:val="%6."/>
      <w:lvlJc w:val="right"/>
      <w:pPr>
        <w:ind w:left="4320" w:hanging="180"/>
      </w:pPr>
    </w:lvl>
    <w:lvl w:ilvl="6" w:tentative="0">
      <w:start w:val="1"/>
      <w:numFmt w:val="decimal"/>
      <w:lvlText w:val="%7."/>
      <w:lvlJc w:val="left"/>
      <w:pPr>
        <w:ind w:left="5040" w:hanging="360"/>
      </w:pPr>
    </w:lvl>
    <w:lvl w:ilvl="7" w:tentative="0">
      <w:start w:val="1"/>
      <w:numFmt w:val="lowerLetter"/>
      <w:lvlText w:val="%8."/>
      <w:lvlJc w:val="left"/>
      <w:pPr>
        <w:ind w:left="5760" w:hanging="360"/>
      </w:pPr>
    </w:lvl>
    <w:lvl w:ilvl="8" w:tentative="0">
      <w:start w:val="1"/>
      <w:numFmt w:val="lowerRoman"/>
      <w:lvlText w:val="%9."/>
      <w:lvlJc w:val="right"/>
      <w:pPr>
        <w:ind w:left="6480" w:hanging="180"/>
      </w:pPr>
    </w:lvl>
  </w:abstractNum>
  <w:num w:numId="1">
    <w:abstractNumId w:val="11"/>
  </w:num>
  <w:num w:numId="2">
    <w:abstractNumId w:val="20"/>
  </w:num>
  <w:num w:numId="3">
    <w:abstractNumId w:val="15"/>
  </w:num>
  <w:num w:numId="4">
    <w:abstractNumId w:val="20"/>
    <w:lvlOverride w:ilvl="0">
      <w:startOverride w:val="1"/>
    </w:lvlOverride>
  </w:num>
  <w:num w:numId="5">
    <w:abstractNumId w:val="5"/>
  </w:num>
  <w:num w:numId="6">
    <w:abstractNumId w:val="6"/>
  </w:num>
  <w:num w:numId="7">
    <w:abstractNumId w:val="17"/>
  </w:num>
  <w:num w:numId="8">
    <w:abstractNumId w:val="32"/>
  </w:num>
  <w:num w:numId="9">
    <w:abstractNumId w:val="26"/>
  </w:num>
  <w:num w:numId="10">
    <w:abstractNumId w:val="8"/>
  </w:num>
  <w:num w:numId="11">
    <w:abstractNumId w:val="3"/>
  </w:num>
  <w:num w:numId="12">
    <w:abstractNumId w:val="31"/>
  </w:num>
  <w:num w:numId="13">
    <w:abstractNumId w:val="25"/>
  </w:num>
  <w:num w:numId="14">
    <w:abstractNumId w:val="2"/>
  </w:num>
  <w:num w:numId="15">
    <w:abstractNumId w:val="22"/>
  </w:num>
  <w:num w:numId="16">
    <w:abstractNumId w:val="10"/>
  </w:num>
  <w:num w:numId="17">
    <w:abstractNumId w:val="35"/>
  </w:num>
  <w:num w:numId="18">
    <w:abstractNumId w:val="7"/>
  </w:num>
  <w:num w:numId="19">
    <w:abstractNumId w:val="20"/>
    <w:lvlOverride w:ilvl="0">
      <w:startOverride w:val="1"/>
    </w:lvlOverride>
  </w:num>
  <w:num w:numId="20">
    <w:abstractNumId w:val="9"/>
  </w:num>
  <w:num w:numId="21">
    <w:abstractNumId w:val="33"/>
  </w:num>
  <w:num w:numId="22">
    <w:abstractNumId w:val="28"/>
  </w:num>
  <w:num w:numId="23">
    <w:abstractNumId w:val="0"/>
  </w:num>
  <w:num w:numId="24">
    <w:abstractNumId w:val="29"/>
  </w:num>
  <w:num w:numId="25">
    <w:abstractNumId w:val="20"/>
    <w:lvlOverride w:ilvl="0">
      <w:startOverride w:val="1"/>
    </w:lvlOverride>
  </w:num>
  <w:num w:numId="26">
    <w:abstractNumId w:val="24"/>
  </w:num>
  <w:num w:numId="27">
    <w:abstractNumId w:val="34"/>
  </w:num>
  <w:num w:numId="28">
    <w:abstractNumId w:val="13"/>
  </w:num>
  <w:num w:numId="29">
    <w:abstractNumId w:val="4"/>
  </w:num>
  <w:num w:numId="30">
    <w:abstractNumId w:val="30"/>
  </w:num>
  <w:num w:numId="31">
    <w:abstractNumId w:val="1"/>
  </w:num>
  <w:num w:numId="32">
    <w:abstractNumId w:val="19"/>
  </w:num>
  <w:num w:numId="33">
    <w:abstractNumId w:val="36"/>
  </w:num>
  <w:num w:numId="34">
    <w:abstractNumId w:val="27"/>
  </w:num>
  <w:num w:numId="35">
    <w:abstractNumId w:val="16"/>
  </w:num>
  <w:num w:numId="36">
    <w:abstractNumId w:val="18"/>
  </w:num>
  <w:num w:numId="37">
    <w:abstractNumId w:val="37"/>
  </w:num>
  <w:num w:numId="38">
    <w:abstractNumId w:val="23"/>
  </w:num>
  <w:num w:numId="39">
    <w:abstractNumId w:val="21"/>
  </w:num>
  <w:num w:numId="40">
    <w:abstractNumId w:val="12"/>
  </w:num>
  <w:num w:numId="41">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view w:val="normal"/>
  <w:zoom w:percent="110"/>
  <w:bordersDoNotSurroundHeader w:val="0"/>
  <w:bordersDoNotSurroundFooter w:val="0"/>
  <w:documentProtection w:enforcement="0"/>
  <w:defaultTabStop w:val="708"/>
  <w:hyphenationZone w:val="425"/>
  <w:displayHorizontalDrawingGridEvery w:val="1"/>
  <w:displayVerticalDrawingGridEvery w:val="1"/>
  <w:noPunctuationKerning w:val="1"/>
  <w:characterSpacingControl w:val="doNotCompress"/>
  <w:compat>
    <w:balanceSingleByteDoubleByteWidth/>
    <w:doNotExpandShiftReturn/>
    <w:doNotWrapTextWithPunct/>
    <w:doNotUseEastAsianBreakRules/>
    <w:doNotUseIndentAsNumberingTabStop/>
    <w:useAltKinsokuLineBreakRules/>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72A27"/>
    <w:rsid w:val="0000114F"/>
    <w:rsid w:val="00003567"/>
    <w:rsid w:val="000059AB"/>
    <w:rsid w:val="00007FB3"/>
    <w:rsid w:val="000105CA"/>
    <w:rsid w:val="0001193D"/>
    <w:rsid w:val="000141FC"/>
    <w:rsid w:val="00014E2D"/>
    <w:rsid w:val="000157B9"/>
    <w:rsid w:val="000159E4"/>
    <w:rsid w:val="00016648"/>
    <w:rsid w:val="000168A4"/>
    <w:rsid w:val="00017CD1"/>
    <w:rsid w:val="00020834"/>
    <w:rsid w:val="0002157E"/>
    <w:rsid w:val="00022E0A"/>
    <w:rsid w:val="000248A4"/>
    <w:rsid w:val="00025A6A"/>
    <w:rsid w:val="00026649"/>
    <w:rsid w:val="00026E6E"/>
    <w:rsid w:val="000278C7"/>
    <w:rsid w:val="00027E78"/>
    <w:rsid w:val="000303AE"/>
    <w:rsid w:val="0003097F"/>
    <w:rsid w:val="00030DA7"/>
    <w:rsid w:val="000311C6"/>
    <w:rsid w:val="00031564"/>
    <w:rsid w:val="00031B76"/>
    <w:rsid w:val="0003204E"/>
    <w:rsid w:val="0003298D"/>
    <w:rsid w:val="00032AB8"/>
    <w:rsid w:val="00033891"/>
    <w:rsid w:val="00034216"/>
    <w:rsid w:val="00036CB7"/>
    <w:rsid w:val="00036FF5"/>
    <w:rsid w:val="0004001A"/>
    <w:rsid w:val="000403CA"/>
    <w:rsid w:val="00040472"/>
    <w:rsid w:val="00040758"/>
    <w:rsid w:val="00041D0C"/>
    <w:rsid w:val="000438AC"/>
    <w:rsid w:val="00043913"/>
    <w:rsid w:val="00043D7D"/>
    <w:rsid w:val="00043E93"/>
    <w:rsid w:val="00044664"/>
    <w:rsid w:val="000502D1"/>
    <w:rsid w:val="00050560"/>
    <w:rsid w:val="00053321"/>
    <w:rsid w:val="000538B8"/>
    <w:rsid w:val="00055677"/>
    <w:rsid w:val="0005640B"/>
    <w:rsid w:val="0005766E"/>
    <w:rsid w:val="000606E9"/>
    <w:rsid w:val="00060B69"/>
    <w:rsid w:val="00060CEB"/>
    <w:rsid w:val="00062367"/>
    <w:rsid w:val="0006294E"/>
    <w:rsid w:val="00064A7F"/>
    <w:rsid w:val="00065BB9"/>
    <w:rsid w:val="00066B99"/>
    <w:rsid w:val="00066CCD"/>
    <w:rsid w:val="00070E93"/>
    <w:rsid w:val="00070F21"/>
    <w:rsid w:val="0007212F"/>
    <w:rsid w:val="00072AAD"/>
    <w:rsid w:val="00076A4A"/>
    <w:rsid w:val="00081121"/>
    <w:rsid w:val="00081604"/>
    <w:rsid w:val="0008226D"/>
    <w:rsid w:val="000823E6"/>
    <w:rsid w:val="00082B11"/>
    <w:rsid w:val="00082E03"/>
    <w:rsid w:val="0008374A"/>
    <w:rsid w:val="00084037"/>
    <w:rsid w:val="000845A2"/>
    <w:rsid w:val="000879B5"/>
    <w:rsid w:val="00090AD3"/>
    <w:rsid w:val="000923BD"/>
    <w:rsid w:val="000928FC"/>
    <w:rsid w:val="0009401D"/>
    <w:rsid w:val="00095CFA"/>
    <w:rsid w:val="000A0D86"/>
    <w:rsid w:val="000A2353"/>
    <w:rsid w:val="000A3CDE"/>
    <w:rsid w:val="000A56A6"/>
    <w:rsid w:val="000A5EC7"/>
    <w:rsid w:val="000A633A"/>
    <w:rsid w:val="000A6789"/>
    <w:rsid w:val="000A6959"/>
    <w:rsid w:val="000A762D"/>
    <w:rsid w:val="000A7723"/>
    <w:rsid w:val="000A7AB4"/>
    <w:rsid w:val="000A7EAD"/>
    <w:rsid w:val="000B0263"/>
    <w:rsid w:val="000B0E94"/>
    <w:rsid w:val="000B197C"/>
    <w:rsid w:val="000B307E"/>
    <w:rsid w:val="000B4764"/>
    <w:rsid w:val="000B4E45"/>
    <w:rsid w:val="000B5F30"/>
    <w:rsid w:val="000B7017"/>
    <w:rsid w:val="000B762E"/>
    <w:rsid w:val="000B7E2B"/>
    <w:rsid w:val="000C646F"/>
    <w:rsid w:val="000C6F8F"/>
    <w:rsid w:val="000D0544"/>
    <w:rsid w:val="000D222D"/>
    <w:rsid w:val="000D33C9"/>
    <w:rsid w:val="000D3EA6"/>
    <w:rsid w:val="000D458D"/>
    <w:rsid w:val="000D4E10"/>
    <w:rsid w:val="000D7C24"/>
    <w:rsid w:val="000D7D46"/>
    <w:rsid w:val="000E0238"/>
    <w:rsid w:val="000E1AF6"/>
    <w:rsid w:val="000E619A"/>
    <w:rsid w:val="000E64DA"/>
    <w:rsid w:val="000E67DE"/>
    <w:rsid w:val="000E68BD"/>
    <w:rsid w:val="000F2ED3"/>
    <w:rsid w:val="000F656C"/>
    <w:rsid w:val="000F6595"/>
    <w:rsid w:val="000F7072"/>
    <w:rsid w:val="000F70AC"/>
    <w:rsid w:val="000F712F"/>
    <w:rsid w:val="000F7268"/>
    <w:rsid w:val="00102789"/>
    <w:rsid w:val="001031CE"/>
    <w:rsid w:val="00104997"/>
    <w:rsid w:val="00104DBE"/>
    <w:rsid w:val="001057AE"/>
    <w:rsid w:val="0010799A"/>
    <w:rsid w:val="00110F48"/>
    <w:rsid w:val="00111B75"/>
    <w:rsid w:val="001125CA"/>
    <w:rsid w:val="001138A3"/>
    <w:rsid w:val="00114BAD"/>
    <w:rsid w:val="00116C09"/>
    <w:rsid w:val="00116DEC"/>
    <w:rsid w:val="00120D10"/>
    <w:rsid w:val="00122B9C"/>
    <w:rsid w:val="00122CAF"/>
    <w:rsid w:val="00123C9F"/>
    <w:rsid w:val="0012563E"/>
    <w:rsid w:val="00127C1D"/>
    <w:rsid w:val="00127F97"/>
    <w:rsid w:val="00131CE1"/>
    <w:rsid w:val="001336EF"/>
    <w:rsid w:val="001351FE"/>
    <w:rsid w:val="00135CD7"/>
    <w:rsid w:val="00137263"/>
    <w:rsid w:val="00141C2D"/>
    <w:rsid w:val="0014222D"/>
    <w:rsid w:val="00142F57"/>
    <w:rsid w:val="0014395C"/>
    <w:rsid w:val="00144B66"/>
    <w:rsid w:val="00146419"/>
    <w:rsid w:val="00151295"/>
    <w:rsid w:val="00151EA9"/>
    <w:rsid w:val="001526C7"/>
    <w:rsid w:val="00152DB1"/>
    <w:rsid w:val="00154571"/>
    <w:rsid w:val="00154868"/>
    <w:rsid w:val="001554C7"/>
    <w:rsid w:val="00156826"/>
    <w:rsid w:val="00157183"/>
    <w:rsid w:val="0016084A"/>
    <w:rsid w:val="00161E06"/>
    <w:rsid w:val="00162830"/>
    <w:rsid w:val="001634F9"/>
    <w:rsid w:val="00166457"/>
    <w:rsid w:val="001672E3"/>
    <w:rsid w:val="00170F2A"/>
    <w:rsid w:val="00171293"/>
    <w:rsid w:val="00171333"/>
    <w:rsid w:val="00173987"/>
    <w:rsid w:val="001745DC"/>
    <w:rsid w:val="00175E98"/>
    <w:rsid w:val="001806E3"/>
    <w:rsid w:val="001814EC"/>
    <w:rsid w:val="0018231E"/>
    <w:rsid w:val="001829E0"/>
    <w:rsid w:val="00182CCE"/>
    <w:rsid w:val="00182F99"/>
    <w:rsid w:val="00184943"/>
    <w:rsid w:val="0018698C"/>
    <w:rsid w:val="001876E6"/>
    <w:rsid w:val="001879F6"/>
    <w:rsid w:val="00187BC8"/>
    <w:rsid w:val="00190F84"/>
    <w:rsid w:val="00192608"/>
    <w:rsid w:val="00193167"/>
    <w:rsid w:val="00197044"/>
    <w:rsid w:val="0019779B"/>
    <w:rsid w:val="001A0788"/>
    <w:rsid w:val="001A090E"/>
    <w:rsid w:val="001A126B"/>
    <w:rsid w:val="001A16CE"/>
    <w:rsid w:val="001A2136"/>
    <w:rsid w:val="001A3F38"/>
    <w:rsid w:val="001A5EF3"/>
    <w:rsid w:val="001A6281"/>
    <w:rsid w:val="001B17A7"/>
    <w:rsid w:val="001B19A2"/>
    <w:rsid w:val="001B1ED0"/>
    <w:rsid w:val="001B28AC"/>
    <w:rsid w:val="001B30C0"/>
    <w:rsid w:val="001B4DE7"/>
    <w:rsid w:val="001B6426"/>
    <w:rsid w:val="001C0273"/>
    <w:rsid w:val="001C0E61"/>
    <w:rsid w:val="001C1004"/>
    <w:rsid w:val="001C2B29"/>
    <w:rsid w:val="001C2CCE"/>
    <w:rsid w:val="001C2E3A"/>
    <w:rsid w:val="001C2F84"/>
    <w:rsid w:val="001C437D"/>
    <w:rsid w:val="001C4659"/>
    <w:rsid w:val="001C4864"/>
    <w:rsid w:val="001C4A56"/>
    <w:rsid w:val="001C5A6D"/>
    <w:rsid w:val="001C7263"/>
    <w:rsid w:val="001D1153"/>
    <w:rsid w:val="001D1507"/>
    <w:rsid w:val="001D2DF8"/>
    <w:rsid w:val="001D379E"/>
    <w:rsid w:val="001D3E4E"/>
    <w:rsid w:val="001D44C8"/>
    <w:rsid w:val="001D476A"/>
    <w:rsid w:val="001D4906"/>
    <w:rsid w:val="001D4FF2"/>
    <w:rsid w:val="001D504B"/>
    <w:rsid w:val="001D5D16"/>
    <w:rsid w:val="001D6EEC"/>
    <w:rsid w:val="001D7000"/>
    <w:rsid w:val="001E1402"/>
    <w:rsid w:val="001E2277"/>
    <w:rsid w:val="001E2AC1"/>
    <w:rsid w:val="001E306D"/>
    <w:rsid w:val="001E3217"/>
    <w:rsid w:val="001E7C28"/>
    <w:rsid w:val="001E7E1D"/>
    <w:rsid w:val="001E7ED5"/>
    <w:rsid w:val="001F2743"/>
    <w:rsid w:val="001F4A2F"/>
    <w:rsid w:val="001F5C0F"/>
    <w:rsid w:val="001F6435"/>
    <w:rsid w:val="00200994"/>
    <w:rsid w:val="00200C7F"/>
    <w:rsid w:val="0020101F"/>
    <w:rsid w:val="002015D7"/>
    <w:rsid w:val="002045EA"/>
    <w:rsid w:val="0020668D"/>
    <w:rsid w:val="002076A0"/>
    <w:rsid w:val="0021039B"/>
    <w:rsid w:val="00211A6F"/>
    <w:rsid w:val="00212334"/>
    <w:rsid w:val="00212606"/>
    <w:rsid w:val="0021758F"/>
    <w:rsid w:val="002205EC"/>
    <w:rsid w:val="00220A14"/>
    <w:rsid w:val="00220C30"/>
    <w:rsid w:val="0022348D"/>
    <w:rsid w:val="00225A72"/>
    <w:rsid w:val="00226D89"/>
    <w:rsid w:val="00227F33"/>
    <w:rsid w:val="00233FF3"/>
    <w:rsid w:val="00236126"/>
    <w:rsid w:val="00237FDC"/>
    <w:rsid w:val="002406C1"/>
    <w:rsid w:val="00240DB0"/>
    <w:rsid w:val="00242784"/>
    <w:rsid w:val="00243DB8"/>
    <w:rsid w:val="00244438"/>
    <w:rsid w:val="002459E5"/>
    <w:rsid w:val="0024700D"/>
    <w:rsid w:val="00251316"/>
    <w:rsid w:val="00252803"/>
    <w:rsid w:val="00253F12"/>
    <w:rsid w:val="00255FBD"/>
    <w:rsid w:val="00256909"/>
    <w:rsid w:val="00256E74"/>
    <w:rsid w:val="00257E03"/>
    <w:rsid w:val="0026026A"/>
    <w:rsid w:val="00260828"/>
    <w:rsid w:val="00263411"/>
    <w:rsid w:val="00263E34"/>
    <w:rsid w:val="00264C91"/>
    <w:rsid w:val="0026641E"/>
    <w:rsid w:val="00271ABD"/>
    <w:rsid w:val="00272171"/>
    <w:rsid w:val="00272392"/>
    <w:rsid w:val="00274B90"/>
    <w:rsid w:val="002762C6"/>
    <w:rsid w:val="00280124"/>
    <w:rsid w:val="00285D35"/>
    <w:rsid w:val="002860FD"/>
    <w:rsid w:val="002873F4"/>
    <w:rsid w:val="00291AEF"/>
    <w:rsid w:val="00291F30"/>
    <w:rsid w:val="00295A64"/>
    <w:rsid w:val="002A048B"/>
    <w:rsid w:val="002A2784"/>
    <w:rsid w:val="002A28F8"/>
    <w:rsid w:val="002A2F86"/>
    <w:rsid w:val="002A40C4"/>
    <w:rsid w:val="002A45F8"/>
    <w:rsid w:val="002A61FD"/>
    <w:rsid w:val="002A725B"/>
    <w:rsid w:val="002B092B"/>
    <w:rsid w:val="002B1159"/>
    <w:rsid w:val="002B4E09"/>
    <w:rsid w:val="002B7F64"/>
    <w:rsid w:val="002C1E14"/>
    <w:rsid w:val="002C39F4"/>
    <w:rsid w:val="002C4BE5"/>
    <w:rsid w:val="002C6775"/>
    <w:rsid w:val="002C69D7"/>
    <w:rsid w:val="002D07DA"/>
    <w:rsid w:val="002D0844"/>
    <w:rsid w:val="002D3C5C"/>
    <w:rsid w:val="002D6DEC"/>
    <w:rsid w:val="002D7781"/>
    <w:rsid w:val="002E00DC"/>
    <w:rsid w:val="002E1712"/>
    <w:rsid w:val="002E4D82"/>
    <w:rsid w:val="002E6449"/>
    <w:rsid w:val="002E721C"/>
    <w:rsid w:val="002F0576"/>
    <w:rsid w:val="002F21F4"/>
    <w:rsid w:val="002F2633"/>
    <w:rsid w:val="002F4BEB"/>
    <w:rsid w:val="002F4D98"/>
    <w:rsid w:val="002F5E82"/>
    <w:rsid w:val="002F709B"/>
    <w:rsid w:val="002F714A"/>
    <w:rsid w:val="003010B3"/>
    <w:rsid w:val="00304CFE"/>
    <w:rsid w:val="0030588D"/>
    <w:rsid w:val="00305F4C"/>
    <w:rsid w:val="003060ED"/>
    <w:rsid w:val="00311ACD"/>
    <w:rsid w:val="003121D7"/>
    <w:rsid w:val="003122E7"/>
    <w:rsid w:val="00312EA1"/>
    <w:rsid w:val="003134EA"/>
    <w:rsid w:val="00316B2A"/>
    <w:rsid w:val="00317CCE"/>
    <w:rsid w:val="00320B86"/>
    <w:rsid w:val="0032131E"/>
    <w:rsid w:val="003222D5"/>
    <w:rsid w:val="003233E4"/>
    <w:rsid w:val="003247AE"/>
    <w:rsid w:val="00326431"/>
    <w:rsid w:val="00327634"/>
    <w:rsid w:val="0032796C"/>
    <w:rsid w:val="00330064"/>
    <w:rsid w:val="00330066"/>
    <w:rsid w:val="003317E1"/>
    <w:rsid w:val="00331D3D"/>
    <w:rsid w:val="003323E4"/>
    <w:rsid w:val="00332418"/>
    <w:rsid w:val="003348FB"/>
    <w:rsid w:val="00335595"/>
    <w:rsid w:val="003365DB"/>
    <w:rsid w:val="00336C8A"/>
    <w:rsid w:val="00337A36"/>
    <w:rsid w:val="00337B38"/>
    <w:rsid w:val="003445A9"/>
    <w:rsid w:val="00346F13"/>
    <w:rsid w:val="003503D6"/>
    <w:rsid w:val="00350472"/>
    <w:rsid w:val="00352831"/>
    <w:rsid w:val="00353AB8"/>
    <w:rsid w:val="00354255"/>
    <w:rsid w:val="00355853"/>
    <w:rsid w:val="00356CBC"/>
    <w:rsid w:val="00357E46"/>
    <w:rsid w:val="003602FA"/>
    <w:rsid w:val="00360796"/>
    <w:rsid w:val="0036184B"/>
    <w:rsid w:val="0036262E"/>
    <w:rsid w:val="00364772"/>
    <w:rsid w:val="00364C8E"/>
    <w:rsid w:val="0036583A"/>
    <w:rsid w:val="003659BE"/>
    <w:rsid w:val="00371654"/>
    <w:rsid w:val="00371A03"/>
    <w:rsid w:val="00373738"/>
    <w:rsid w:val="00375E2B"/>
    <w:rsid w:val="003760B9"/>
    <w:rsid w:val="003769DA"/>
    <w:rsid w:val="00377901"/>
    <w:rsid w:val="00380022"/>
    <w:rsid w:val="0038016E"/>
    <w:rsid w:val="00382664"/>
    <w:rsid w:val="00383FB7"/>
    <w:rsid w:val="003864AB"/>
    <w:rsid w:val="003864D6"/>
    <w:rsid w:val="003868F7"/>
    <w:rsid w:val="0038705A"/>
    <w:rsid w:val="00387DCB"/>
    <w:rsid w:val="00390B40"/>
    <w:rsid w:val="00391811"/>
    <w:rsid w:val="00394879"/>
    <w:rsid w:val="00396C5E"/>
    <w:rsid w:val="00397BD8"/>
    <w:rsid w:val="003A0108"/>
    <w:rsid w:val="003A032A"/>
    <w:rsid w:val="003A07E9"/>
    <w:rsid w:val="003A07FC"/>
    <w:rsid w:val="003A1949"/>
    <w:rsid w:val="003A2D9B"/>
    <w:rsid w:val="003A3DAC"/>
    <w:rsid w:val="003A5124"/>
    <w:rsid w:val="003A7CFB"/>
    <w:rsid w:val="003B23A4"/>
    <w:rsid w:val="003B2BC4"/>
    <w:rsid w:val="003B3506"/>
    <w:rsid w:val="003B4053"/>
    <w:rsid w:val="003B493D"/>
    <w:rsid w:val="003B4D8A"/>
    <w:rsid w:val="003B6C0F"/>
    <w:rsid w:val="003B718F"/>
    <w:rsid w:val="003B781B"/>
    <w:rsid w:val="003C0C3A"/>
    <w:rsid w:val="003C0E8D"/>
    <w:rsid w:val="003C174F"/>
    <w:rsid w:val="003C191F"/>
    <w:rsid w:val="003C1BA9"/>
    <w:rsid w:val="003C2ED5"/>
    <w:rsid w:val="003C4F26"/>
    <w:rsid w:val="003C5B3B"/>
    <w:rsid w:val="003C5DDF"/>
    <w:rsid w:val="003C6112"/>
    <w:rsid w:val="003C702F"/>
    <w:rsid w:val="003C7B4C"/>
    <w:rsid w:val="003C7BB6"/>
    <w:rsid w:val="003D0A4B"/>
    <w:rsid w:val="003D0AA0"/>
    <w:rsid w:val="003D1B60"/>
    <w:rsid w:val="003D2DF0"/>
    <w:rsid w:val="003D5526"/>
    <w:rsid w:val="003D5F9F"/>
    <w:rsid w:val="003D640B"/>
    <w:rsid w:val="003D760B"/>
    <w:rsid w:val="003E0803"/>
    <w:rsid w:val="003E1567"/>
    <w:rsid w:val="003E36E6"/>
    <w:rsid w:val="003E532D"/>
    <w:rsid w:val="003E5806"/>
    <w:rsid w:val="003F123D"/>
    <w:rsid w:val="003F294F"/>
    <w:rsid w:val="003F51CF"/>
    <w:rsid w:val="003F5371"/>
    <w:rsid w:val="004006C5"/>
    <w:rsid w:val="00400B78"/>
    <w:rsid w:val="00401180"/>
    <w:rsid w:val="004013B7"/>
    <w:rsid w:val="00402852"/>
    <w:rsid w:val="00403AE8"/>
    <w:rsid w:val="00404236"/>
    <w:rsid w:val="00405329"/>
    <w:rsid w:val="00405791"/>
    <w:rsid w:val="0040590C"/>
    <w:rsid w:val="00405952"/>
    <w:rsid w:val="00407003"/>
    <w:rsid w:val="00407342"/>
    <w:rsid w:val="004148C4"/>
    <w:rsid w:val="00415726"/>
    <w:rsid w:val="00416C6B"/>
    <w:rsid w:val="00424D67"/>
    <w:rsid w:val="00426B61"/>
    <w:rsid w:val="00434A79"/>
    <w:rsid w:val="00437358"/>
    <w:rsid w:val="004405AC"/>
    <w:rsid w:val="00440A91"/>
    <w:rsid w:val="00442788"/>
    <w:rsid w:val="004469E0"/>
    <w:rsid w:val="004503BB"/>
    <w:rsid w:val="004504E5"/>
    <w:rsid w:val="00450EE7"/>
    <w:rsid w:val="00455616"/>
    <w:rsid w:val="004557C8"/>
    <w:rsid w:val="004558C0"/>
    <w:rsid w:val="00455EF0"/>
    <w:rsid w:val="00457AC1"/>
    <w:rsid w:val="00457E2D"/>
    <w:rsid w:val="0046116E"/>
    <w:rsid w:val="00461C05"/>
    <w:rsid w:val="004631ED"/>
    <w:rsid w:val="004638C4"/>
    <w:rsid w:val="00464AC1"/>
    <w:rsid w:val="00464FF1"/>
    <w:rsid w:val="00465130"/>
    <w:rsid w:val="00467156"/>
    <w:rsid w:val="00467F65"/>
    <w:rsid w:val="0047455F"/>
    <w:rsid w:val="00474792"/>
    <w:rsid w:val="00475A79"/>
    <w:rsid w:val="00475A8E"/>
    <w:rsid w:val="00475DB3"/>
    <w:rsid w:val="00476340"/>
    <w:rsid w:val="004770BD"/>
    <w:rsid w:val="004772EA"/>
    <w:rsid w:val="00477DDC"/>
    <w:rsid w:val="00480C5F"/>
    <w:rsid w:val="004838DE"/>
    <w:rsid w:val="00483B4A"/>
    <w:rsid w:val="00485079"/>
    <w:rsid w:val="00486150"/>
    <w:rsid w:val="00486A70"/>
    <w:rsid w:val="00487F31"/>
    <w:rsid w:val="0049110E"/>
    <w:rsid w:val="00493063"/>
    <w:rsid w:val="0049344E"/>
    <w:rsid w:val="004943F5"/>
    <w:rsid w:val="00494507"/>
    <w:rsid w:val="00495196"/>
    <w:rsid w:val="00496F71"/>
    <w:rsid w:val="00497531"/>
    <w:rsid w:val="00497B16"/>
    <w:rsid w:val="004A023E"/>
    <w:rsid w:val="004A2072"/>
    <w:rsid w:val="004A23B7"/>
    <w:rsid w:val="004A40C7"/>
    <w:rsid w:val="004A570C"/>
    <w:rsid w:val="004A5EC9"/>
    <w:rsid w:val="004B120C"/>
    <w:rsid w:val="004B285B"/>
    <w:rsid w:val="004B321C"/>
    <w:rsid w:val="004B5B05"/>
    <w:rsid w:val="004B6F49"/>
    <w:rsid w:val="004B7037"/>
    <w:rsid w:val="004B7837"/>
    <w:rsid w:val="004C4440"/>
    <w:rsid w:val="004C4831"/>
    <w:rsid w:val="004C4DBF"/>
    <w:rsid w:val="004D0521"/>
    <w:rsid w:val="004D0813"/>
    <w:rsid w:val="004D11E2"/>
    <w:rsid w:val="004D16A0"/>
    <w:rsid w:val="004D2710"/>
    <w:rsid w:val="004D33E2"/>
    <w:rsid w:val="004D3D12"/>
    <w:rsid w:val="004D51BC"/>
    <w:rsid w:val="004D539E"/>
    <w:rsid w:val="004D5E9F"/>
    <w:rsid w:val="004E2774"/>
    <w:rsid w:val="004E2897"/>
    <w:rsid w:val="004E334D"/>
    <w:rsid w:val="004E4D90"/>
    <w:rsid w:val="004E526D"/>
    <w:rsid w:val="004E69EF"/>
    <w:rsid w:val="004E705F"/>
    <w:rsid w:val="004F1273"/>
    <w:rsid w:val="004F183E"/>
    <w:rsid w:val="004F219F"/>
    <w:rsid w:val="004F353A"/>
    <w:rsid w:val="004F4FC0"/>
    <w:rsid w:val="004F68B2"/>
    <w:rsid w:val="00500A1E"/>
    <w:rsid w:val="00500F48"/>
    <w:rsid w:val="00503B50"/>
    <w:rsid w:val="00503D70"/>
    <w:rsid w:val="00503E6A"/>
    <w:rsid w:val="00504373"/>
    <w:rsid w:val="00504CCF"/>
    <w:rsid w:val="005073FF"/>
    <w:rsid w:val="00507C49"/>
    <w:rsid w:val="0051224E"/>
    <w:rsid w:val="00512931"/>
    <w:rsid w:val="005131F4"/>
    <w:rsid w:val="005153C6"/>
    <w:rsid w:val="00517D4D"/>
    <w:rsid w:val="005206E4"/>
    <w:rsid w:val="00520828"/>
    <w:rsid w:val="00521F68"/>
    <w:rsid w:val="0052338B"/>
    <w:rsid w:val="00523B70"/>
    <w:rsid w:val="00524C0E"/>
    <w:rsid w:val="00525387"/>
    <w:rsid w:val="0052597D"/>
    <w:rsid w:val="00525FD5"/>
    <w:rsid w:val="00527BBB"/>
    <w:rsid w:val="00530234"/>
    <w:rsid w:val="00531109"/>
    <w:rsid w:val="005312B2"/>
    <w:rsid w:val="00533CB8"/>
    <w:rsid w:val="00533FC0"/>
    <w:rsid w:val="00534B2D"/>
    <w:rsid w:val="00536B2C"/>
    <w:rsid w:val="00536B93"/>
    <w:rsid w:val="00541AD3"/>
    <w:rsid w:val="00541F0C"/>
    <w:rsid w:val="00544840"/>
    <w:rsid w:val="00544CF8"/>
    <w:rsid w:val="0054637F"/>
    <w:rsid w:val="005469A3"/>
    <w:rsid w:val="005471F1"/>
    <w:rsid w:val="00551A0F"/>
    <w:rsid w:val="00555213"/>
    <w:rsid w:val="00557C61"/>
    <w:rsid w:val="005603B7"/>
    <w:rsid w:val="005621EF"/>
    <w:rsid w:val="00563B99"/>
    <w:rsid w:val="00564A80"/>
    <w:rsid w:val="005656EB"/>
    <w:rsid w:val="00565FB2"/>
    <w:rsid w:val="00566459"/>
    <w:rsid w:val="00566B8F"/>
    <w:rsid w:val="005705FB"/>
    <w:rsid w:val="00572C9C"/>
    <w:rsid w:val="00573342"/>
    <w:rsid w:val="00573AB0"/>
    <w:rsid w:val="00574244"/>
    <w:rsid w:val="00574C3D"/>
    <w:rsid w:val="00575A2D"/>
    <w:rsid w:val="00576EBC"/>
    <w:rsid w:val="00577988"/>
    <w:rsid w:val="00582090"/>
    <w:rsid w:val="00584329"/>
    <w:rsid w:val="00584A78"/>
    <w:rsid w:val="005876E9"/>
    <w:rsid w:val="00590B44"/>
    <w:rsid w:val="0059102C"/>
    <w:rsid w:val="005915BE"/>
    <w:rsid w:val="00593FF5"/>
    <w:rsid w:val="00596531"/>
    <w:rsid w:val="0059787F"/>
    <w:rsid w:val="005A006B"/>
    <w:rsid w:val="005A1179"/>
    <w:rsid w:val="005A1235"/>
    <w:rsid w:val="005A42AD"/>
    <w:rsid w:val="005A46E1"/>
    <w:rsid w:val="005A4CA8"/>
    <w:rsid w:val="005A4E53"/>
    <w:rsid w:val="005A6AC2"/>
    <w:rsid w:val="005A6E64"/>
    <w:rsid w:val="005A7295"/>
    <w:rsid w:val="005A7632"/>
    <w:rsid w:val="005B087E"/>
    <w:rsid w:val="005B1333"/>
    <w:rsid w:val="005B173E"/>
    <w:rsid w:val="005B1EE6"/>
    <w:rsid w:val="005B2B2E"/>
    <w:rsid w:val="005B4FC2"/>
    <w:rsid w:val="005B54DA"/>
    <w:rsid w:val="005B5672"/>
    <w:rsid w:val="005B6FE1"/>
    <w:rsid w:val="005B7317"/>
    <w:rsid w:val="005C0E7D"/>
    <w:rsid w:val="005C10C4"/>
    <w:rsid w:val="005C13EF"/>
    <w:rsid w:val="005C2153"/>
    <w:rsid w:val="005C48CB"/>
    <w:rsid w:val="005D0327"/>
    <w:rsid w:val="005D0638"/>
    <w:rsid w:val="005D0CDA"/>
    <w:rsid w:val="005D3CDB"/>
    <w:rsid w:val="005D3FFD"/>
    <w:rsid w:val="005D4926"/>
    <w:rsid w:val="005D4A3C"/>
    <w:rsid w:val="005D69DF"/>
    <w:rsid w:val="005D6CBA"/>
    <w:rsid w:val="005E14F3"/>
    <w:rsid w:val="005E2A0A"/>
    <w:rsid w:val="005E5204"/>
    <w:rsid w:val="005E55C8"/>
    <w:rsid w:val="005E61F6"/>
    <w:rsid w:val="005E704B"/>
    <w:rsid w:val="005F018D"/>
    <w:rsid w:val="005F01A0"/>
    <w:rsid w:val="005F068E"/>
    <w:rsid w:val="005F27D7"/>
    <w:rsid w:val="005F2AD3"/>
    <w:rsid w:val="005F3996"/>
    <w:rsid w:val="005F5300"/>
    <w:rsid w:val="005F5516"/>
    <w:rsid w:val="005F7A4B"/>
    <w:rsid w:val="006002C0"/>
    <w:rsid w:val="00602844"/>
    <w:rsid w:val="0060375C"/>
    <w:rsid w:val="00604797"/>
    <w:rsid w:val="006056CC"/>
    <w:rsid w:val="0060595D"/>
    <w:rsid w:val="0060725F"/>
    <w:rsid w:val="00607E29"/>
    <w:rsid w:val="006109AD"/>
    <w:rsid w:val="00611D5E"/>
    <w:rsid w:val="00612BE6"/>
    <w:rsid w:val="00614A18"/>
    <w:rsid w:val="00616450"/>
    <w:rsid w:val="006164C4"/>
    <w:rsid w:val="00616D95"/>
    <w:rsid w:val="0061723F"/>
    <w:rsid w:val="006176FB"/>
    <w:rsid w:val="00622D94"/>
    <w:rsid w:val="00623317"/>
    <w:rsid w:val="00623F66"/>
    <w:rsid w:val="006249DC"/>
    <w:rsid w:val="0062695E"/>
    <w:rsid w:val="00630852"/>
    <w:rsid w:val="006322CF"/>
    <w:rsid w:val="006336CC"/>
    <w:rsid w:val="0063377F"/>
    <w:rsid w:val="006362A9"/>
    <w:rsid w:val="0063660D"/>
    <w:rsid w:val="00637296"/>
    <w:rsid w:val="00637B0F"/>
    <w:rsid w:val="00640CD0"/>
    <w:rsid w:val="00643698"/>
    <w:rsid w:val="00643EE4"/>
    <w:rsid w:val="00644528"/>
    <w:rsid w:val="006449BA"/>
    <w:rsid w:val="00644B84"/>
    <w:rsid w:val="00646C5C"/>
    <w:rsid w:val="00646E06"/>
    <w:rsid w:val="0064737D"/>
    <w:rsid w:val="00651041"/>
    <w:rsid w:val="006523AC"/>
    <w:rsid w:val="0065292A"/>
    <w:rsid w:val="00653C8B"/>
    <w:rsid w:val="0065505F"/>
    <w:rsid w:val="00656EE9"/>
    <w:rsid w:val="00660654"/>
    <w:rsid w:val="0066082A"/>
    <w:rsid w:val="00661053"/>
    <w:rsid w:val="00661620"/>
    <w:rsid w:val="006641CF"/>
    <w:rsid w:val="00664A6F"/>
    <w:rsid w:val="006651E1"/>
    <w:rsid w:val="00665B1D"/>
    <w:rsid w:val="00670319"/>
    <w:rsid w:val="00670582"/>
    <w:rsid w:val="00671A34"/>
    <w:rsid w:val="00672A1F"/>
    <w:rsid w:val="00673FA4"/>
    <w:rsid w:val="006765CA"/>
    <w:rsid w:val="006768C5"/>
    <w:rsid w:val="006809B5"/>
    <w:rsid w:val="0068194A"/>
    <w:rsid w:val="00681CAA"/>
    <w:rsid w:val="00681DF6"/>
    <w:rsid w:val="00682EB0"/>
    <w:rsid w:val="00683F56"/>
    <w:rsid w:val="00683FD2"/>
    <w:rsid w:val="00685A8F"/>
    <w:rsid w:val="00686A12"/>
    <w:rsid w:val="00686A8C"/>
    <w:rsid w:val="0069094E"/>
    <w:rsid w:val="00691168"/>
    <w:rsid w:val="0069398F"/>
    <w:rsid w:val="00695075"/>
    <w:rsid w:val="00697FFE"/>
    <w:rsid w:val="006A14B9"/>
    <w:rsid w:val="006A29D9"/>
    <w:rsid w:val="006A4F7C"/>
    <w:rsid w:val="006A6B1E"/>
    <w:rsid w:val="006A7D3E"/>
    <w:rsid w:val="006B0224"/>
    <w:rsid w:val="006B1ECD"/>
    <w:rsid w:val="006B232A"/>
    <w:rsid w:val="006B266E"/>
    <w:rsid w:val="006B36F5"/>
    <w:rsid w:val="006B4475"/>
    <w:rsid w:val="006B4952"/>
    <w:rsid w:val="006B562B"/>
    <w:rsid w:val="006B5B93"/>
    <w:rsid w:val="006B6F04"/>
    <w:rsid w:val="006C010E"/>
    <w:rsid w:val="006C207F"/>
    <w:rsid w:val="006C2CD3"/>
    <w:rsid w:val="006D2AF7"/>
    <w:rsid w:val="006D3314"/>
    <w:rsid w:val="006D497B"/>
    <w:rsid w:val="006D60B4"/>
    <w:rsid w:val="006D65B3"/>
    <w:rsid w:val="006D7D7E"/>
    <w:rsid w:val="006E00B4"/>
    <w:rsid w:val="006E1563"/>
    <w:rsid w:val="006E253F"/>
    <w:rsid w:val="006E3277"/>
    <w:rsid w:val="006F0AF7"/>
    <w:rsid w:val="006F3715"/>
    <w:rsid w:val="006F3B88"/>
    <w:rsid w:val="006F4478"/>
    <w:rsid w:val="006F6309"/>
    <w:rsid w:val="006F7713"/>
    <w:rsid w:val="0070004E"/>
    <w:rsid w:val="00700B3A"/>
    <w:rsid w:val="007028EB"/>
    <w:rsid w:val="00704471"/>
    <w:rsid w:val="00705225"/>
    <w:rsid w:val="00710D5C"/>
    <w:rsid w:val="00711653"/>
    <w:rsid w:val="007132B9"/>
    <w:rsid w:val="007135D3"/>
    <w:rsid w:val="00713A43"/>
    <w:rsid w:val="0071402A"/>
    <w:rsid w:val="00715107"/>
    <w:rsid w:val="007162CA"/>
    <w:rsid w:val="00717CAC"/>
    <w:rsid w:val="00721C6A"/>
    <w:rsid w:val="007229F2"/>
    <w:rsid w:val="00722AF1"/>
    <w:rsid w:val="007231B8"/>
    <w:rsid w:val="00724032"/>
    <w:rsid w:val="00724895"/>
    <w:rsid w:val="00724AF4"/>
    <w:rsid w:val="00724CB0"/>
    <w:rsid w:val="00725EBF"/>
    <w:rsid w:val="00726ADE"/>
    <w:rsid w:val="007279FF"/>
    <w:rsid w:val="00727A77"/>
    <w:rsid w:val="00730A97"/>
    <w:rsid w:val="007323A5"/>
    <w:rsid w:val="007340E5"/>
    <w:rsid w:val="0073551A"/>
    <w:rsid w:val="007372A5"/>
    <w:rsid w:val="007372E3"/>
    <w:rsid w:val="00742137"/>
    <w:rsid w:val="007441C4"/>
    <w:rsid w:val="00744635"/>
    <w:rsid w:val="007473EE"/>
    <w:rsid w:val="00747708"/>
    <w:rsid w:val="00747C19"/>
    <w:rsid w:val="00747F1B"/>
    <w:rsid w:val="00751C35"/>
    <w:rsid w:val="00753DD1"/>
    <w:rsid w:val="00755446"/>
    <w:rsid w:val="00755F47"/>
    <w:rsid w:val="00760848"/>
    <w:rsid w:val="00760E57"/>
    <w:rsid w:val="007626BE"/>
    <w:rsid w:val="00763815"/>
    <w:rsid w:val="00764746"/>
    <w:rsid w:val="007714EE"/>
    <w:rsid w:val="00771AAC"/>
    <w:rsid w:val="00776394"/>
    <w:rsid w:val="007763F6"/>
    <w:rsid w:val="00776F3A"/>
    <w:rsid w:val="00780029"/>
    <w:rsid w:val="00780AA6"/>
    <w:rsid w:val="00780B12"/>
    <w:rsid w:val="00781160"/>
    <w:rsid w:val="00781D20"/>
    <w:rsid w:val="007820AA"/>
    <w:rsid w:val="00782D88"/>
    <w:rsid w:val="00785179"/>
    <w:rsid w:val="00785D1B"/>
    <w:rsid w:val="00786DAF"/>
    <w:rsid w:val="007876AB"/>
    <w:rsid w:val="00794273"/>
    <w:rsid w:val="00794A12"/>
    <w:rsid w:val="00794BD2"/>
    <w:rsid w:val="00795266"/>
    <w:rsid w:val="007956E0"/>
    <w:rsid w:val="00795DCB"/>
    <w:rsid w:val="0079674C"/>
    <w:rsid w:val="00796FBC"/>
    <w:rsid w:val="00797B58"/>
    <w:rsid w:val="007A0002"/>
    <w:rsid w:val="007A0F2A"/>
    <w:rsid w:val="007A17D5"/>
    <w:rsid w:val="007A2B78"/>
    <w:rsid w:val="007A4FDF"/>
    <w:rsid w:val="007A51E6"/>
    <w:rsid w:val="007B066F"/>
    <w:rsid w:val="007B14C7"/>
    <w:rsid w:val="007B15F3"/>
    <w:rsid w:val="007B1841"/>
    <w:rsid w:val="007B38F2"/>
    <w:rsid w:val="007B4584"/>
    <w:rsid w:val="007B5201"/>
    <w:rsid w:val="007B5B54"/>
    <w:rsid w:val="007B680F"/>
    <w:rsid w:val="007B7409"/>
    <w:rsid w:val="007B76E9"/>
    <w:rsid w:val="007C2A22"/>
    <w:rsid w:val="007C2A39"/>
    <w:rsid w:val="007C2BA3"/>
    <w:rsid w:val="007C31B1"/>
    <w:rsid w:val="007C5987"/>
    <w:rsid w:val="007C6906"/>
    <w:rsid w:val="007D1F8C"/>
    <w:rsid w:val="007D2358"/>
    <w:rsid w:val="007D38CC"/>
    <w:rsid w:val="007D408E"/>
    <w:rsid w:val="007D4917"/>
    <w:rsid w:val="007D5D6F"/>
    <w:rsid w:val="007D630B"/>
    <w:rsid w:val="007D64AC"/>
    <w:rsid w:val="007D6E12"/>
    <w:rsid w:val="007E4612"/>
    <w:rsid w:val="007E6DAD"/>
    <w:rsid w:val="007E77CB"/>
    <w:rsid w:val="007F1FF6"/>
    <w:rsid w:val="007F3C80"/>
    <w:rsid w:val="007F4382"/>
    <w:rsid w:val="007F4626"/>
    <w:rsid w:val="007F5644"/>
    <w:rsid w:val="007F56AB"/>
    <w:rsid w:val="007F6B2C"/>
    <w:rsid w:val="00803773"/>
    <w:rsid w:val="00804B88"/>
    <w:rsid w:val="008053A5"/>
    <w:rsid w:val="00805677"/>
    <w:rsid w:val="00805738"/>
    <w:rsid w:val="00806191"/>
    <w:rsid w:val="00806904"/>
    <w:rsid w:val="00811389"/>
    <w:rsid w:val="00811E3A"/>
    <w:rsid w:val="00812D23"/>
    <w:rsid w:val="00813223"/>
    <w:rsid w:val="00813647"/>
    <w:rsid w:val="008154A9"/>
    <w:rsid w:val="00817069"/>
    <w:rsid w:val="0081781A"/>
    <w:rsid w:val="00822FC4"/>
    <w:rsid w:val="00823037"/>
    <w:rsid w:val="00823138"/>
    <w:rsid w:val="00825024"/>
    <w:rsid w:val="008263D0"/>
    <w:rsid w:val="0082765A"/>
    <w:rsid w:val="008277C8"/>
    <w:rsid w:val="00827E72"/>
    <w:rsid w:val="00830119"/>
    <w:rsid w:val="00831409"/>
    <w:rsid w:val="00831FB8"/>
    <w:rsid w:val="00833B53"/>
    <w:rsid w:val="008347CB"/>
    <w:rsid w:val="00836D7C"/>
    <w:rsid w:val="00837EDB"/>
    <w:rsid w:val="00840750"/>
    <w:rsid w:val="00840BD3"/>
    <w:rsid w:val="0084192C"/>
    <w:rsid w:val="00842759"/>
    <w:rsid w:val="00842B85"/>
    <w:rsid w:val="00842CD6"/>
    <w:rsid w:val="008430BD"/>
    <w:rsid w:val="00845B9C"/>
    <w:rsid w:val="00847066"/>
    <w:rsid w:val="00847538"/>
    <w:rsid w:val="0084780E"/>
    <w:rsid w:val="00847D50"/>
    <w:rsid w:val="00847F13"/>
    <w:rsid w:val="008524BF"/>
    <w:rsid w:val="0085597C"/>
    <w:rsid w:val="0085703A"/>
    <w:rsid w:val="0085709A"/>
    <w:rsid w:val="00857411"/>
    <w:rsid w:val="00857BAD"/>
    <w:rsid w:val="0086036E"/>
    <w:rsid w:val="00860794"/>
    <w:rsid w:val="008615A3"/>
    <w:rsid w:val="00861723"/>
    <w:rsid w:val="00862499"/>
    <w:rsid w:val="008629C1"/>
    <w:rsid w:val="00862E24"/>
    <w:rsid w:val="0086313B"/>
    <w:rsid w:val="00863A6A"/>
    <w:rsid w:val="0086432B"/>
    <w:rsid w:val="00865910"/>
    <w:rsid w:val="008669D5"/>
    <w:rsid w:val="0087129B"/>
    <w:rsid w:val="00872D5E"/>
    <w:rsid w:val="00874856"/>
    <w:rsid w:val="008755C1"/>
    <w:rsid w:val="0087597C"/>
    <w:rsid w:val="0087720C"/>
    <w:rsid w:val="008802D6"/>
    <w:rsid w:val="00880428"/>
    <w:rsid w:val="0088120A"/>
    <w:rsid w:val="00881A3C"/>
    <w:rsid w:val="00881AEE"/>
    <w:rsid w:val="008821C3"/>
    <w:rsid w:val="00883498"/>
    <w:rsid w:val="008838F3"/>
    <w:rsid w:val="0088451C"/>
    <w:rsid w:val="0088496C"/>
    <w:rsid w:val="00890D92"/>
    <w:rsid w:val="00891D24"/>
    <w:rsid w:val="008965BB"/>
    <w:rsid w:val="00896ABC"/>
    <w:rsid w:val="008A0315"/>
    <w:rsid w:val="008A11B2"/>
    <w:rsid w:val="008A155B"/>
    <w:rsid w:val="008A1D9F"/>
    <w:rsid w:val="008A2F1A"/>
    <w:rsid w:val="008A44A5"/>
    <w:rsid w:val="008A5F53"/>
    <w:rsid w:val="008B1CE2"/>
    <w:rsid w:val="008B2034"/>
    <w:rsid w:val="008B3A4E"/>
    <w:rsid w:val="008B419F"/>
    <w:rsid w:val="008B535D"/>
    <w:rsid w:val="008B5672"/>
    <w:rsid w:val="008B687C"/>
    <w:rsid w:val="008B6F14"/>
    <w:rsid w:val="008C043A"/>
    <w:rsid w:val="008C07AD"/>
    <w:rsid w:val="008C13FA"/>
    <w:rsid w:val="008C394C"/>
    <w:rsid w:val="008C490F"/>
    <w:rsid w:val="008C7255"/>
    <w:rsid w:val="008D0916"/>
    <w:rsid w:val="008D4020"/>
    <w:rsid w:val="008D4C21"/>
    <w:rsid w:val="008D4EE9"/>
    <w:rsid w:val="008D6D4B"/>
    <w:rsid w:val="008D6F71"/>
    <w:rsid w:val="008D74C9"/>
    <w:rsid w:val="008D7DEB"/>
    <w:rsid w:val="008E2645"/>
    <w:rsid w:val="008E33EC"/>
    <w:rsid w:val="008E405A"/>
    <w:rsid w:val="008E5E02"/>
    <w:rsid w:val="008E695B"/>
    <w:rsid w:val="008E6B16"/>
    <w:rsid w:val="008E6DFE"/>
    <w:rsid w:val="008E703E"/>
    <w:rsid w:val="008F0255"/>
    <w:rsid w:val="008F0387"/>
    <w:rsid w:val="008F1245"/>
    <w:rsid w:val="008F17A6"/>
    <w:rsid w:val="008F2E6B"/>
    <w:rsid w:val="008F327D"/>
    <w:rsid w:val="008F3B18"/>
    <w:rsid w:val="008F5638"/>
    <w:rsid w:val="008F5DD4"/>
    <w:rsid w:val="008F7208"/>
    <w:rsid w:val="008F79F4"/>
    <w:rsid w:val="00900CB8"/>
    <w:rsid w:val="00902031"/>
    <w:rsid w:val="00902BCF"/>
    <w:rsid w:val="0090331B"/>
    <w:rsid w:val="0090481F"/>
    <w:rsid w:val="00907E59"/>
    <w:rsid w:val="0091116E"/>
    <w:rsid w:val="00911ED9"/>
    <w:rsid w:val="0091540B"/>
    <w:rsid w:val="00915978"/>
    <w:rsid w:val="00915B2F"/>
    <w:rsid w:val="00915E75"/>
    <w:rsid w:val="009168B5"/>
    <w:rsid w:val="009172B3"/>
    <w:rsid w:val="00917896"/>
    <w:rsid w:val="009179A8"/>
    <w:rsid w:val="00920E94"/>
    <w:rsid w:val="0092333A"/>
    <w:rsid w:val="00924295"/>
    <w:rsid w:val="00924EDE"/>
    <w:rsid w:val="0092518E"/>
    <w:rsid w:val="00927680"/>
    <w:rsid w:val="00927B06"/>
    <w:rsid w:val="00927D8F"/>
    <w:rsid w:val="0093189B"/>
    <w:rsid w:val="00932B20"/>
    <w:rsid w:val="00933A1B"/>
    <w:rsid w:val="00935A40"/>
    <w:rsid w:val="009361D3"/>
    <w:rsid w:val="009367D3"/>
    <w:rsid w:val="009371C8"/>
    <w:rsid w:val="00937657"/>
    <w:rsid w:val="009406DD"/>
    <w:rsid w:val="009418B0"/>
    <w:rsid w:val="00941A6F"/>
    <w:rsid w:val="00950505"/>
    <w:rsid w:val="00953896"/>
    <w:rsid w:val="009561F4"/>
    <w:rsid w:val="009574FB"/>
    <w:rsid w:val="00960912"/>
    <w:rsid w:val="00962825"/>
    <w:rsid w:val="00963C8B"/>
    <w:rsid w:val="00964120"/>
    <w:rsid w:val="00967982"/>
    <w:rsid w:val="00971AA1"/>
    <w:rsid w:val="009744F3"/>
    <w:rsid w:val="00974E67"/>
    <w:rsid w:val="00975D0F"/>
    <w:rsid w:val="00975D50"/>
    <w:rsid w:val="0097614A"/>
    <w:rsid w:val="0098025A"/>
    <w:rsid w:val="00983C1F"/>
    <w:rsid w:val="00987BAD"/>
    <w:rsid w:val="00990E92"/>
    <w:rsid w:val="00990FD6"/>
    <w:rsid w:val="00991C5F"/>
    <w:rsid w:val="00992EC1"/>
    <w:rsid w:val="00994F33"/>
    <w:rsid w:val="00995B4A"/>
    <w:rsid w:val="00996C20"/>
    <w:rsid w:val="00997C6D"/>
    <w:rsid w:val="00997E13"/>
    <w:rsid w:val="009A0306"/>
    <w:rsid w:val="009A15E5"/>
    <w:rsid w:val="009A1B25"/>
    <w:rsid w:val="009A1EFC"/>
    <w:rsid w:val="009A29FC"/>
    <w:rsid w:val="009A349F"/>
    <w:rsid w:val="009A365A"/>
    <w:rsid w:val="009A3CC2"/>
    <w:rsid w:val="009A3EF0"/>
    <w:rsid w:val="009A493E"/>
    <w:rsid w:val="009A4B4F"/>
    <w:rsid w:val="009A4BCA"/>
    <w:rsid w:val="009A61FA"/>
    <w:rsid w:val="009A700B"/>
    <w:rsid w:val="009B057A"/>
    <w:rsid w:val="009B0C4F"/>
    <w:rsid w:val="009B0DEF"/>
    <w:rsid w:val="009B1209"/>
    <w:rsid w:val="009B5B56"/>
    <w:rsid w:val="009B5C63"/>
    <w:rsid w:val="009B5CE7"/>
    <w:rsid w:val="009B659E"/>
    <w:rsid w:val="009B7413"/>
    <w:rsid w:val="009C1484"/>
    <w:rsid w:val="009C291E"/>
    <w:rsid w:val="009C386B"/>
    <w:rsid w:val="009C39AC"/>
    <w:rsid w:val="009C3B53"/>
    <w:rsid w:val="009C4C05"/>
    <w:rsid w:val="009D06C8"/>
    <w:rsid w:val="009D45E3"/>
    <w:rsid w:val="009D47C3"/>
    <w:rsid w:val="009D4BA4"/>
    <w:rsid w:val="009D4DC3"/>
    <w:rsid w:val="009D539B"/>
    <w:rsid w:val="009D7000"/>
    <w:rsid w:val="009E00DE"/>
    <w:rsid w:val="009E0D97"/>
    <w:rsid w:val="009E192A"/>
    <w:rsid w:val="009E3B2E"/>
    <w:rsid w:val="009E4980"/>
    <w:rsid w:val="009E4CA4"/>
    <w:rsid w:val="009E56A3"/>
    <w:rsid w:val="009E756D"/>
    <w:rsid w:val="009E7E38"/>
    <w:rsid w:val="009F015D"/>
    <w:rsid w:val="009F1DC5"/>
    <w:rsid w:val="009F32BC"/>
    <w:rsid w:val="009F33C8"/>
    <w:rsid w:val="009F3C06"/>
    <w:rsid w:val="009F3C59"/>
    <w:rsid w:val="009F4442"/>
    <w:rsid w:val="009F45BB"/>
    <w:rsid w:val="009F56E6"/>
    <w:rsid w:val="009F64F7"/>
    <w:rsid w:val="00A0036B"/>
    <w:rsid w:val="00A00C52"/>
    <w:rsid w:val="00A029A6"/>
    <w:rsid w:val="00A056BC"/>
    <w:rsid w:val="00A05A89"/>
    <w:rsid w:val="00A07369"/>
    <w:rsid w:val="00A075BA"/>
    <w:rsid w:val="00A07DC4"/>
    <w:rsid w:val="00A113DB"/>
    <w:rsid w:val="00A13FC0"/>
    <w:rsid w:val="00A14010"/>
    <w:rsid w:val="00A14B7B"/>
    <w:rsid w:val="00A16F77"/>
    <w:rsid w:val="00A2032C"/>
    <w:rsid w:val="00A234C2"/>
    <w:rsid w:val="00A237F0"/>
    <w:rsid w:val="00A248B6"/>
    <w:rsid w:val="00A25BAB"/>
    <w:rsid w:val="00A26831"/>
    <w:rsid w:val="00A305C9"/>
    <w:rsid w:val="00A34AF6"/>
    <w:rsid w:val="00A35B80"/>
    <w:rsid w:val="00A35E17"/>
    <w:rsid w:val="00A362DF"/>
    <w:rsid w:val="00A36566"/>
    <w:rsid w:val="00A4086E"/>
    <w:rsid w:val="00A41042"/>
    <w:rsid w:val="00A43719"/>
    <w:rsid w:val="00A43C77"/>
    <w:rsid w:val="00A441B1"/>
    <w:rsid w:val="00A44EAE"/>
    <w:rsid w:val="00A470CC"/>
    <w:rsid w:val="00A47200"/>
    <w:rsid w:val="00A47E64"/>
    <w:rsid w:val="00A50574"/>
    <w:rsid w:val="00A507E3"/>
    <w:rsid w:val="00A507F2"/>
    <w:rsid w:val="00A50C13"/>
    <w:rsid w:val="00A5131E"/>
    <w:rsid w:val="00A519FB"/>
    <w:rsid w:val="00A520BB"/>
    <w:rsid w:val="00A527A2"/>
    <w:rsid w:val="00A52BC4"/>
    <w:rsid w:val="00A56E8D"/>
    <w:rsid w:val="00A61E80"/>
    <w:rsid w:val="00A6273D"/>
    <w:rsid w:val="00A63189"/>
    <w:rsid w:val="00A64399"/>
    <w:rsid w:val="00A647FA"/>
    <w:rsid w:val="00A64DD5"/>
    <w:rsid w:val="00A65DC7"/>
    <w:rsid w:val="00A70204"/>
    <w:rsid w:val="00A70D39"/>
    <w:rsid w:val="00A750AD"/>
    <w:rsid w:val="00A758BD"/>
    <w:rsid w:val="00A80955"/>
    <w:rsid w:val="00A81405"/>
    <w:rsid w:val="00A84AC7"/>
    <w:rsid w:val="00A84DCE"/>
    <w:rsid w:val="00A86407"/>
    <w:rsid w:val="00A87ABC"/>
    <w:rsid w:val="00A87C70"/>
    <w:rsid w:val="00A87ED2"/>
    <w:rsid w:val="00A90310"/>
    <w:rsid w:val="00A90CA4"/>
    <w:rsid w:val="00A919DC"/>
    <w:rsid w:val="00A93088"/>
    <w:rsid w:val="00A946B4"/>
    <w:rsid w:val="00A94CBE"/>
    <w:rsid w:val="00A96CC9"/>
    <w:rsid w:val="00A9774C"/>
    <w:rsid w:val="00A97924"/>
    <w:rsid w:val="00A97E62"/>
    <w:rsid w:val="00AA176C"/>
    <w:rsid w:val="00AA1B33"/>
    <w:rsid w:val="00AA29DE"/>
    <w:rsid w:val="00AA4E98"/>
    <w:rsid w:val="00AA565E"/>
    <w:rsid w:val="00AA5963"/>
    <w:rsid w:val="00AA5A1D"/>
    <w:rsid w:val="00AA64C6"/>
    <w:rsid w:val="00AA66D5"/>
    <w:rsid w:val="00AA6ABC"/>
    <w:rsid w:val="00AB21D2"/>
    <w:rsid w:val="00AB2D4F"/>
    <w:rsid w:val="00AB4E13"/>
    <w:rsid w:val="00AB5846"/>
    <w:rsid w:val="00AB5AEA"/>
    <w:rsid w:val="00AC00C7"/>
    <w:rsid w:val="00AC30D0"/>
    <w:rsid w:val="00AC31D6"/>
    <w:rsid w:val="00AC6970"/>
    <w:rsid w:val="00AC7642"/>
    <w:rsid w:val="00AC7D3A"/>
    <w:rsid w:val="00AD0EAC"/>
    <w:rsid w:val="00AD10A0"/>
    <w:rsid w:val="00AD10F8"/>
    <w:rsid w:val="00AD2334"/>
    <w:rsid w:val="00AD41B2"/>
    <w:rsid w:val="00AD58C4"/>
    <w:rsid w:val="00AD5940"/>
    <w:rsid w:val="00AD5962"/>
    <w:rsid w:val="00AE0DB0"/>
    <w:rsid w:val="00AE1C18"/>
    <w:rsid w:val="00AE24B0"/>
    <w:rsid w:val="00AE3770"/>
    <w:rsid w:val="00AE3FA4"/>
    <w:rsid w:val="00AE441A"/>
    <w:rsid w:val="00AE4534"/>
    <w:rsid w:val="00AE5F87"/>
    <w:rsid w:val="00AF1E43"/>
    <w:rsid w:val="00AF3C60"/>
    <w:rsid w:val="00AF4FC4"/>
    <w:rsid w:val="00AF71AE"/>
    <w:rsid w:val="00B00680"/>
    <w:rsid w:val="00B01895"/>
    <w:rsid w:val="00B01B87"/>
    <w:rsid w:val="00B01D6F"/>
    <w:rsid w:val="00B02B5E"/>
    <w:rsid w:val="00B03487"/>
    <w:rsid w:val="00B0419F"/>
    <w:rsid w:val="00B046B2"/>
    <w:rsid w:val="00B0523E"/>
    <w:rsid w:val="00B05332"/>
    <w:rsid w:val="00B05880"/>
    <w:rsid w:val="00B05AE2"/>
    <w:rsid w:val="00B0600A"/>
    <w:rsid w:val="00B0634A"/>
    <w:rsid w:val="00B06542"/>
    <w:rsid w:val="00B065FC"/>
    <w:rsid w:val="00B0685A"/>
    <w:rsid w:val="00B07840"/>
    <w:rsid w:val="00B12289"/>
    <w:rsid w:val="00B21E36"/>
    <w:rsid w:val="00B221F3"/>
    <w:rsid w:val="00B236F1"/>
    <w:rsid w:val="00B23DAA"/>
    <w:rsid w:val="00B2447F"/>
    <w:rsid w:val="00B272A7"/>
    <w:rsid w:val="00B32DF8"/>
    <w:rsid w:val="00B33114"/>
    <w:rsid w:val="00B3386F"/>
    <w:rsid w:val="00B34162"/>
    <w:rsid w:val="00B349BC"/>
    <w:rsid w:val="00B3666A"/>
    <w:rsid w:val="00B3683C"/>
    <w:rsid w:val="00B372A7"/>
    <w:rsid w:val="00B37B8E"/>
    <w:rsid w:val="00B40EAE"/>
    <w:rsid w:val="00B42371"/>
    <w:rsid w:val="00B44151"/>
    <w:rsid w:val="00B4498C"/>
    <w:rsid w:val="00B45200"/>
    <w:rsid w:val="00B4666E"/>
    <w:rsid w:val="00B469A1"/>
    <w:rsid w:val="00B47E42"/>
    <w:rsid w:val="00B533DE"/>
    <w:rsid w:val="00B53D04"/>
    <w:rsid w:val="00B53DAC"/>
    <w:rsid w:val="00B55997"/>
    <w:rsid w:val="00B56A1A"/>
    <w:rsid w:val="00B570BF"/>
    <w:rsid w:val="00B6137B"/>
    <w:rsid w:val="00B61650"/>
    <w:rsid w:val="00B63395"/>
    <w:rsid w:val="00B65DCC"/>
    <w:rsid w:val="00B662A5"/>
    <w:rsid w:val="00B66322"/>
    <w:rsid w:val="00B66E7B"/>
    <w:rsid w:val="00B71012"/>
    <w:rsid w:val="00B711F1"/>
    <w:rsid w:val="00B7159B"/>
    <w:rsid w:val="00B71F13"/>
    <w:rsid w:val="00B71F1A"/>
    <w:rsid w:val="00B7238B"/>
    <w:rsid w:val="00B737B5"/>
    <w:rsid w:val="00B76555"/>
    <w:rsid w:val="00B76A5E"/>
    <w:rsid w:val="00B7799F"/>
    <w:rsid w:val="00B8377E"/>
    <w:rsid w:val="00B86E17"/>
    <w:rsid w:val="00B87472"/>
    <w:rsid w:val="00B90046"/>
    <w:rsid w:val="00B91E00"/>
    <w:rsid w:val="00B92CB0"/>
    <w:rsid w:val="00B93A80"/>
    <w:rsid w:val="00B93AE3"/>
    <w:rsid w:val="00B94714"/>
    <w:rsid w:val="00B9799F"/>
    <w:rsid w:val="00B97C98"/>
    <w:rsid w:val="00BA0D49"/>
    <w:rsid w:val="00BA169C"/>
    <w:rsid w:val="00BA221D"/>
    <w:rsid w:val="00BA3F9E"/>
    <w:rsid w:val="00BA57AE"/>
    <w:rsid w:val="00BA5F21"/>
    <w:rsid w:val="00BA63D6"/>
    <w:rsid w:val="00BA6B8B"/>
    <w:rsid w:val="00BA7BBB"/>
    <w:rsid w:val="00BB0B1F"/>
    <w:rsid w:val="00BB1554"/>
    <w:rsid w:val="00BB21FF"/>
    <w:rsid w:val="00BB23E2"/>
    <w:rsid w:val="00BB2FFA"/>
    <w:rsid w:val="00BB3A9D"/>
    <w:rsid w:val="00BB3B9B"/>
    <w:rsid w:val="00BB3DF9"/>
    <w:rsid w:val="00BB4831"/>
    <w:rsid w:val="00BB5864"/>
    <w:rsid w:val="00BC0B18"/>
    <w:rsid w:val="00BC1240"/>
    <w:rsid w:val="00BC1B4C"/>
    <w:rsid w:val="00BC1D8F"/>
    <w:rsid w:val="00BC2100"/>
    <w:rsid w:val="00BC2196"/>
    <w:rsid w:val="00BC6551"/>
    <w:rsid w:val="00BD1E20"/>
    <w:rsid w:val="00BD2928"/>
    <w:rsid w:val="00BE0396"/>
    <w:rsid w:val="00BE1DC5"/>
    <w:rsid w:val="00BE280F"/>
    <w:rsid w:val="00BE65C9"/>
    <w:rsid w:val="00BE7CE1"/>
    <w:rsid w:val="00BF050A"/>
    <w:rsid w:val="00BF20EF"/>
    <w:rsid w:val="00BF430C"/>
    <w:rsid w:val="00BF56DA"/>
    <w:rsid w:val="00BF68DB"/>
    <w:rsid w:val="00BF6E24"/>
    <w:rsid w:val="00C0451B"/>
    <w:rsid w:val="00C0563D"/>
    <w:rsid w:val="00C05DC5"/>
    <w:rsid w:val="00C119E3"/>
    <w:rsid w:val="00C1208B"/>
    <w:rsid w:val="00C125E8"/>
    <w:rsid w:val="00C149FB"/>
    <w:rsid w:val="00C16D5F"/>
    <w:rsid w:val="00C20364"/>
    <w:rsid w:val="00C20914"/>
    <w:rsid w:val="00C20F91"/>
    <w:rsid w:val="00C214BE"/>
    <w:rsid w:val="00C21BFF"/>
    <w:rsid w:val="00C26C29"/>
    <w:rsid w:val="00C27745"/>
    <w:rsid w:val="00C31BA4"/>
    <w:rsid w:val="00C321D9"/>
    <w:rsid w:val="00C3268C"/>
    <w:rsid w:val="00C32982"/>
    <w:rsid w:val="00C3390D"/>
    <w:rsid w:val="00C33A36"/>
    <w:rsid w:val="00C34142"/>
    <w:rsid w:val="00C36D6B"/>
    <w:rsid w:val="00C3701C"/>
    <w:rsid w:val="00C41110"/>
    <w:rsid w:val="00C42F7A"/>
    <w:rsid w:val="00C43F7A"/>
    <w:rsid w:val="00C441BA"/>
    <w:rsid w:val="00C50D1D"/>
    <w:rsid w:val="00C5200A"/>
    <w:rsid w:val="00C5263D"/>
    <w:rsid w:val="00C52DB4"/>
    <w:rsid w:val="00C53EE1"/>
    <w:rsid w:val="00C54358"/>
    <w:rsid w:val="00C55C4E"/>
    <w:rsid w:val="00C55DB6"/>
    <w:rsid w:val="00C55F3A"/>
    <w:rsid w:val="00C62AB2"/>
    <w:rsid w:val="00C63D31"/>
    <w:rsid w:val="00C64EC7"/>
    <w:rsid w:val="00C66069"/>
    <w:rsid w:val="00C66C2B"/>
    <w:rsid w:val="00C67C84"/>
    <w:rsid w:val="00C7094E"/>
    <w:rsid w:val="00C7103A"/>
    <w:rsid w:val="00C73BD1"/>
    <w:rsid w:val="00C7740B"/>
    <w:rsid w:val="00C81168"/>
    <w:rsid w:val="00C85CD0"/>
    <w:rsid w:val="00C9087C"/>
    <w:rsid w:val="00C90F17"/>
    <w:rsid w:val="00C91548"/>
    <w:rsid w:val="00C94F77"/>
    <w:rsid w:val="00C952A7"/>
    <w:rsid w:val="00C95F27"/>
    <w:rsid w:val="00C96561"/>
    <w:rsid w:val="00CA0B23"/>
    <w:rsid w:val="00CA15F2"/>
    <w:rsid w:val="00CA1C8F"/>
    <w:rsid w:val="00CA4420"/>
    <w:rsid w:val="00CA491C"/>
    <w:rsid w:val="00CA5715"/>
    <w:rsid w:val="00CA58D4"/>
    <w:rsid w:val="00CA6C34"/>
    <w:rsid w:val="00CB01BD"/>
    <w:rsid w:val="00CB174A"/>
    <w:rsid w:val="00CB2093"/>
    <w:rsid w:val="00CB2B3D"/>
    <w:rsid w:val="00CB32B5"/>
    <w:rsid w:val="00CB48E8"/>
    <w:rsid w:val="00CB5052"/>
    <w:rsid w:val="00CB5397"/>
    <w:rsid w:val="00CC0C8C"/>
    <w:rsid w:val="00CC0D4B"/>
    <w:rsid w:val="00CC191F"/>
    <w:rsid w:val="00CC2376"/>
    <w:rsid w:val="00CC2879"/>
    <w:rsid w:val="00CC7BCA"/>
    <w:rsid w:val="00CD0AF5"/>
    <w:rsid w:val="00CD0C29"/>
    <w:rsid w:val="00CD3598"/>
    <w:rsid w:val="00CD3E83"/>
    <w:rsid w:val="00CD537B"/>
    <w:rsid w:val="00CD59E6"/>
    <w:rsid w:val="00CD5E2C"/>
    <w:rsid w:val="00CD783C"/>
    <w:rsid w:val="00CE26F9"/>
    <w:rsid w:val="00CE3DAC"/>
    <w:rsid w:val="00CE43AF"/>
    <w:rsid w:val="00CE737E"/>
    <w:rsid w:val="00CF2508"/>
    <w:rsid w:val="00CF2EF6"/>
    <w:rsid w:val="00CF41F1"/>
    <w:rsid w:val="00CF469E"/>
    <w:rsid w:val="00CF494D"/>
    <w:rsid w:val="00CF5060"/>
    <w:rsid w:val="00CF6A9A"/>
    <w:rsid w:val="00CF775F"/>
    <w:rsid w:val="00CF7C29"/>
    <w:rsid w:val="00D02457"/>
    <w:rsid w:val="00D02B9C"/>
    <w:rsid w:val="00D03B2E"/>
    <w:rsid w:val="00D06C57"/>
    <w:rsid w:val="00D10D01"/>
    <w:rsid w:val="00D10F03"/>
    <w:rsid w:val="00D119E4"/>
    <w:rsid w:val="00D133FE"/>
    <w:rsid w:val="00D13689"/>
    <w:rsid w:val="00D15141"/>
    <w:rsid w:val="00D16060"/>
    <w:rsid w:val="00D1636E"/>
    <w:rsid w:val="00D16D7A"/>
    <w:rsid w:val="00D16EF8"/>
    <w:rsid w:val="00D172A8"/>
    <w:rsid w:val="00D204B3"/>
    <w:rsid w:val="00D206CA"/>
    <w:rsid w:val="00D2133C"/>
    <w:rsid w:val="00D22D0D"/>
    <w:rsid w:val="00D22F4B"/>
    <w:rsid w:val="00D2320C"/>
    <w:rsid w:val="00D23FD5"/>
    <w:rsid w:val="00D25914"/>
    <w:rsid w:val="00D2603F"/>
    <w:rsid w:val="00D262D6"/>
    <w:rsid w:val="00D26E94"/>
    <w:rsid w:val="00D2721B"/>
    <w:rsid w:val="00D274EF"/>
    <w:rsid w:val="00D276A4"/>
    <w:rsid w:val="00D32288"/>
    <w:rsid w:val="00D3496D"/>
    <w:rsid w:val="00D35D0C"/>
    <w:rsid w:val="00D37AF6"/>
    <w:rsid w:val="00D40D24"/>
    <w:rsid w:val="00D417DD"/>
    <w:rsid w:val="00D41CBA"/>
    <w:rsid w:val="00D42567"/>
    <w:rsid w:val="00D4330B"/>
    <w:rsid w:val="00D4502A"/>
    <w:rsid w:val="00D452CC"/>
    <w:rsid w:val="00D46551"/>
    <w:rsid w:val="00D50F18"/>
    <w:rsid w:val="00D510EE"/>
    <w:rsid w:val="00D51459"/>
    <w:rsid w:val="00D52EFE"/>
    <w:rsid w:val="00D5468D"/>
    <w:rsid w:val="00D549A4"/>
    <w:rsid w:val="00D56B44"/>
    <w:rsid w:val="00D63483"/>
    <w:rsid w:val="00D64401"/>
    <w:rsid w:val="00D64955"/>
    <w:rsid w:val="00D64AEA"/>
    <w:rsid w:val="00D64C6F"/>
    <w:rsid w:val="00D652F9"/>
    <w:rsid w:val="00D66529"/>
    <w:rsid w:val="00D67EFA"/>
    <w:rsid w:val="00D71885"/>
    <w:rsid w:val="00D742B7"/>
    <w:rsid w:val="00D7459C"/>
    <w:rsid w:val="00D747FE"/>
    <w:rsid w:val="00D76F86"/>
    <w:rsid w:val="00D77589"/>
    <w:rsid w:val="00D77B0F"/>
    <w:rsid w:val="00D8144D"/>
    <w:rsid w:val="00D83044"/>
    <w:rsid w:val="00D83071"/>
    <w:rsid w:val="00D83EA6"/>
    <w:rsid w:val="00D84243"/>
    <w:rsid w:val="00D90285"/>
    <w:rsid w:val="00D91A5B"/>
    <w:rsid w:val="00D92B2A"/>
    <w:rsid w:val="00D92CD7"/>
    <w:rsid w:val="00D92DAC"/>
    <w:rsid w:val="00D9318E"/>
    <w:rsid w:val="00D93739"/>
    <w:rsid w:val="00D94A95"/>
    <w:rsid w:val="00D94B4C"/>
    <w:rsid w:val="00D9504E"/>
    <w:rsid w:val="00D97FBF"/>
    <w:rsid w:val="00DA0512"/>
    <w:rsid w:val="00DA0BCD"/>
    <w:rsid w:val="00DA14FA"/>
    <w:rsid w:val="00DA6209"/>
    <w:rsid w:val="00DB1BF7"/>
    <w:rsid w:val="00DB28D1"/>
    <w:rsid w:val="00DB3813"/>
    <w:rsid w:val="00DB4CFA"/>
    <w:rsid w:val="00DB6E34"/>
    <w:rsid w:val="00DB715C"/>
    <w:rsid w:val="00DB71F7"/>
    <w:rsid w:val="00DC05AC"/>
    <w:rsid w:val="00DC1248"/>
    <w:rsid w:val="00DC193A"/>
    <w:rsid w:val="00DC50E6"/>
    <w:rsid w:val="00DC6128"/>
    <w:rsid w:val="00DD2119"/>
    <w:rsid w:val="00DD23BA"/>
    <w:rsid w:val="00DD45D1"/>
    <w:rsid w:val="00DD5253"/>
    <w:rsid w:val="00DD63B5"/>
    <w:rsid w:val="00DD6595"/>
    <w:rsid w:val="00DD6921"/>
    <w:rsid w:val="00DD7B81"/>
    <w:rsid w:val="00DE0467"/>
    <w:rsid w:val="00DE1F7B"/>
    <w:rsid w:val="00DE44AF"/>
    <w:rsid w:val="00DE4C83"/>
    <w:rsid w:val="00DE554D"/>
    <w:rsid w:val="00DE5D8B"/>
    <w:rsid w:val="00DF0232"/>
    <w:rsid w:val="00DF070A"/>
    <w:rsid w:val="00DF0A36"/>
    <w:rsid w:val="00DF12A4"/>
    <w:rsid w:val="00DF2380"/>
    <w:rsid w:val="00DF2DAA"/>
    <w:rsid w:val="00DF4537"/>
    <w:rsid w:val="00DF692B"/>
    <w:rsid w:val="00E00C54"/>
    <w:rsid w:val="00E056C3"/>
    <w:rsid w:val="00E05807"/>
    <w:rsid w:val="00E06B1D"/>
    <w:rsid w:val="00E10D22"/>
    <w:rsid w:val="00E123D4"/>
    <w:rsid w:val="00E12F47"/>
    <w:rsid w:val="00E13CBE"/>
    <w:rsid w:val="00E13D19"/>
    <w:rsid w:val="00E160B8"/>
    <w:rsid w:val="00E16873"/>
    <w:rsid w:val="00E17167"/>
    <w:rsid w:val="00E17A73"/>
    <w:rsid w:val="00E21866"/>
    <w:rsid w:val="00E21B47"/>
    <w:rsid w:val="00E21CFC"/>
    <w:rsid w:val="00E222C2"/>
    <w:rsid w:val="00E22C3C"/>
    <w:rsid w:val="00E23D12"/>
    <w:rsid w:val="00E26EC6"/>
    <w:rsid w:val="00E27AD8"/>
    <w:rsid w:val="00E30C60"/>
    <w:rsid w:val="00E3149F"/>
    <w:rsid w:val="00E32F94"/>
    <w:rsid w:val="00E33D5E"/>
    <w:rsid w:val="00E344FC"/>
    <w:rsid w:val="00E3534A"/>
    <w:rsid w:val="00E35646"/>
    <w:rsid w:val="00E373FB"/>
    <w:rsid w:val="00E40EE2"/>
    <w:rsid w:val="00E45A9A"/>
    <w:rsid w:val="00E45DF7"/>
    <w:rsid w:val="00E516D5"/>
    <w:rsid w:val="00E5308C"/>
    <w:rsid w:val="00E53321"/>
    <w:rsid w:val="00E54F6A"/>
    <w:rsid w:val="00E5560C"/>
    <w:rsid w:val="00E56011"/>
    <w:rsid w:val="00E562C2"/>
    <w:rsid w:val="00E60540"/>
    <w:rsid w:val="00E608C3"/>
    <w:rsid w:val="00E624BF"/>
    <w:rsid w:val="00E65952"/>
    <w:rsid w:val="00E663E1"/>
    <w:rsid w:val="00E70B43"/>
    <w:rsid w:val="00E72C9D"/>
    <w:rsid w:val="00E73046"/>
    <w:rsid w:val="00E7364B"/>
    <w:rsid w:val="00E73CE9"/>
    <w:rsid w:val="00E74431"/>
    <w:rsid w:val="00E74759"/>
    <w:rsid w:val="00E74FE2"/>
    <w:rsid w:val="00E75B18"/>
    <w:rsid w:val="00E7652B"/>
    <w:rsid w:val="00E80740"/>
    <w:rsid w:val="00E81829"/>
    <w:rsid w:val="00E82068"/>
    <w:rsid w:val="00E830C7"/>
    <w:rsid w:val="00E8327E"/>
    <w:rsid w:val="00E83A30"/>
    <w:rsid w:val="00E8408F"/>
    <w:rsid w:val="00E85475"/>
    <w:rsid w:val="00E85871"/>
    <w:rsid w:val="00E85DF5"/>
    <w:rsid w:val="00E86D58"/>
    <w:rsid w:val="00E94369"/>
    <w:rsid w:val="00E95A06"/>
    <w:rsid w:val="00E969A8"/>
    <w:rsid w:val="00EA0287"/>
    <w:rsid w:val="00EA043A"/>
    <w:rsid w:val="00EA2DAE"/>
    <w:rsid w:val="00EA4264"/>
    <w:rsid w:val="00EA44E4"/>
    <w:rsid w:val="00EA5D07"/>
    <w:rsid w:val="00EA636D"/>
    <w:rsid w:val="00EB1A34"/>
    <w:rsid w:val="00EB1D0C"/>
    <w:rsid w:val="00EB1F47"/>
    <w:rsid w:val="00EB3286"/>
    <w:rsid w:val="00EB34F1"/>
    <w:rsid w:val="00EB44EA"/>
    <w:rsid w:val="00EB47AC"/>
    <w:rsid w:val="00EB5691"/>
    <w:rsid w:val="00EB6684"/>
    <w:rsid w:val="00EB6BEF"/>
    <w:rsid w:val="00EB7219"/>
    <w:rsid w:val="00EB73DB"/>
    <w:rsid w:val="00EB7D93"/>
    <w:rsid w:val="00EC0E26"/>
    <w:rsid w:val="00EC162F"/>
    <w:rsid w:val="00EC1E89"/>
    <w:rsid w:val="00EC4002"/>
    <w:rsid w:val="00EC4C6E"/>
    <w:rsid w:val="00EC4FE6"/>
    <w:rsid w:val="00EC50EB"/>
    <w:rsid w:val="00EC6BAF"/>
    <w:rsid w:val="00EC742C"/>
    <w:rsid w:val="00ED1416"/>
    <w:rsid w:val="00ED1604"/>
    <w:rsid w:val="00ED4B34"/>
    <w:rsid w:val="00ED4C6D"/>
    <w:rsid w:val="00ED5E49"/>
    <w:rsid w:val="00ED6D06"/>
    <w:rsid w:val="00EE06FE"/>
    <w:rsid w:val="00EE0E24"/>
    <w:rsid w:val="00EE17FB"/>
    <w:rsid w:val="00EE1B25"/>
    <w:rsid w:val="00EE4318"/>
    <w:rsid w:val="00EE5A35"/>
    <w:rsid w:val="00EE652A"/>
    <w:rsid w:val="00EE665F"/>
    <w:rsid w:val="00EF00F7"/>
    <w:rsid w:val="00EF335B"/>
    <w:rsid w:val="00EF4C0D"/>
    <w:rsid w:val="00EF4FC5"/>
    <w:rsid w:val="00EF555C"/>
    <w:rsid w:val="00EF64F9"/>
    <w:rsid w:val="00EF7210"/>
    <w:rsid w:val="00F006A4"/>
    <w:rsid w:val="00F0206A"/>
    <w:rsid w:val="00F03901"/>
    <w:rsid w:val="00F03CEC"/>
    <w:rsid w:val="00F10716"/>
    <w:rsid w:val="00F10C46"/>
    <w:rsid w:val="00F11598"/>
    <w:rsid w:val="00F13E6B"/>
    <w:rsid w:val="00F16100"/>
    <w:rsid w:val="00F20230"/>
    <w:rsid w:val="00F2058B"/>
    <w:rsid w:val="00F207BE"/>
    <w:rsid w:val="00F225A9"/>
    <w:rsid w:val="00F23321"/>
    <w:rsid w:val="00F23E6A"/>
    <w:rsid w:val="00F24CC4"/>
    <w:rsid w:val="00F265FA"/>
    <w:rsid w:val="00F276BF"/>
    <w:rsid w:val="00F32FB5"/>
    <w:rsid w:val="00F3460F"/>
    <w:rsid w:val="00F34AE8"/>
    <w:rsid w:val="00F36070"/>
    <w:rsid w:val="00F36C10"/>
    <w:rsid w:val="00F4019D"/>
    <w:rsid w:val="00F40EC1"/>
    <w:rsid w:val="00F4203E"/>
    <w:rsid w:val="00F42690"/>
    <w:rsid w:val="00F42A50"/>
    <w:rsid w:val="00F46345"/>
    <w:rsid w:val="00F478CA"/>
    <w:rsid w:val="00F514B0"/>
    <w:rsid w:val="00F516AF"/>
    <w:rsid w:val="00F52517"/>
    <w:rsid w:val="00F52FF5"/>
    <w:rsid w:val="00F541A9"/>
    <w:rsid w:val="00F5617C"/>
    <w:rsid w:val="00F563CF"/>
    <w:rsid w:val="00F56AD6"/>
    <w:rsid w:val="00F56D9E"/>
    <w:rsid w:val="00F57211"/>
    <w:rsid w:val="00F61EE6"/>
    <w:rsid w:val="00F63107"/>
    <w:rsid w:val="00F631D1"/>
    <w:rsid w:val="00F65581"/>
    <w:rsid w:val="00F6728C"/>
    <w:rsid w:val="00F67EBE"/>
    <w:rsid w:val="00F71602"/>
    <w:rsid w:val="00F718EC"/>
    <w:rsid w:val="00F77207"/>
    <w:rsid w:val="00F7758D"/>
    <w:rsid w:val="00F778FE"/>
    <w:rsid w:val="00F80D79"/>
    <w:rsid w:val="00F825E6"/>
    <w:rsid w:val="00F85A4D"/>
    <w:rsid w:val="00F8687C"/>
    <w:rsid w:val="00F87035"/>
    <w:rsid w:val="00F87794"/>
    <w:rsid w:val="00F9060D"/>
    <w:rsid w:val="00F91DC3"/>
    <w:rsid w:val="00F922D6"/>
    <w:rsid w:val="00F931E1"/>
    <w:rsid w:val="00F94579"/>
    <w:rsid w:val="00F94F28"/>
    <w:rsid w:val="00F952B4"/>
    <w:rsid w:val="00F9557E"/>
    <w:rsid w:val="00F96870"/>
    <w:rsid w:val="00F96D16"/>
    <w:rsid w:val="00F97BA8"/>
    <w:rsid w:val="00FA152A"/>
    <w:rsid w:val="00FA39B7"/>
    <w:rsid w:val="00FA3E06"/>
    <w:rsid w:val="00FA5043"/>
    <w:rsid w:val="00FA5DD6"/>
    <w:rsid w:val="00FA7CD9"/>
    <w:rsid w:val="00FA7F8A"/>
    <w:rsid w:val="00FB0252"/>
    <w:rsid w:val="00FB0888"/>
    <w:rsid w:val="00FB0BCF"/>
    <w:rsid w:val="00FB25BC"/>
    <w:rsid w:val="00FB354B"/>
    <w:rsid w:val="00FB4834"/>
    <w:rsid w:val="00FB5ED7"/>
    <w:rsid w:val="00FB6F72"/>
    <w:rsid w:val="00FC1BC6"/>
    <w:rsid w:val="00FC202F"/>
    <w:rsid w:val="00FC3D77"/>
    <w:rsid w:val="00FC5B24"/>
    <w:rsid w:val="00FC60C6"/>
    <w:rsid w:val="00FC6651"/>
    <w:rsid w:val="00FC71CD"/>
    <w:rsid w:val="00FC7CDB"/>
    <w:rsid w:val="00FD01C9"/>
    <w:rsid w:val="00FD02FE"/>
    <w:rsid w:val="00FD3CF9"/>
    <w:rsid w:val="00FD3D2D"/>
    <w:rsid w:val="00FD49DF"/>
    <w:rsid w:val="00FD52E4"/>
    <w:rsid w:val="00FD61C8"/>
    <w:rsid w:val="00FD69A9"/>
    <w:rsid w:val="00FD7DED"/>
    <w:rsid w:val="00FE2AD6"/>
    <w:rsid w:val="00FE34A9"/>
    <w:rsid w:val="00FE4AD7"/>
    <w:rsid w:val="00FE4AF4"/>
    <w:rsid w:val="00FE534F"/>
    <w:rsid w:val="00FE63AF"/>
    <w:rsid w:val="00FE79DE"/>
    <w:rsid w:val="00FE7A0B"/>
    <w:rsid w:val="00FF104F"/>
    <w:rsid w:val="00FF1B8A"/>
    <w:rsid w:val="00FF36C1"/>
    <w:rsid w:val="00FF551A"/>
    <w:rsid w:val="00FF571C"/>
    <w:rsid w:val="00FF6338"/>
    <w:rsid w:val="00FF6898"/>
    <w:rsid w:val="00FF770D"/>
    <w:rsid w:val="020A70DC"/>
    <w:rsid w:val="05733FA1"/>
    <w:rsid w:val="063010EC"/>
    <w:rsid w:val="06827FE6"/>
    <w:rsid w:val="070F4C1D"/>
    <w:rsid w:val="08C93A28"/>
    <w:rsid w:val="09BA146F"/>
    <w:rsid w:val="0DC62D18"/>
    <w:rsid w:val="120C7491"/>
    <w:rsid w:val="12F5396B"/>
    <w:rsid w:val="1559247A"/>
    <w:rsid w:val="15A77A9A"/>
    <w:rsid w:val="174F72AF"/>
    <w:rsid w:val="1A3C388D"/>
    <w:rsid w:val="1E01112F"/>
    <w:rsid w:val="1F2F1AF1"/>
    <w:rsid w:val="20D749FA"/>
    <w:rsid w:val="22AE2343"/>
    <w:rsid w:val="23D37EE0"/>
    <w:rsid w:val="284F697F"/>
    <w:rsid w:val="28E022B8"/>
    <w:rsid w:val="2A134C4A"/>
    <w:rsid w:val="2F823F7D"/>
    <w:rsid w:val="30A6317A"/>
    <w:rsid w:val="327A4FDA"/>
    <w:rsid w:val="33412005"/>
    <w:rsid w:val="352A71AA"/>
    <w:rsid w:val="35303AB8"/>
    <w:rsid w:val="35A20B64"/>
    <w:rsid w:val="35D77469"/>
    <w:rsid w:val="37691CDB"/>
    <w:rsid w:val="378B425D"/>
    <w:rsid w:val="37B91438"/>
    <w:rsid w:val="389A48DE"/>
    <w:rsid w:val="39836A94"/>
    <w:rsid w:val="3AA84974"/>
    <w:rsid w:val="3DCA41E3"/>
    <w:rsid w:val="3DFE6495"/>
    <w:rsid w:val="412E3590"/>
    <w:rsid w:val="41DC4A25"/>
    <w:rsid w:val="42782C7F"/>
    <w:rsid w:val="431C06E3"/>
    <w:rsid w:val="440860DC"/>
    <w:rsid w:val="4488356F"/>
    <w:rsid w:val="4582624A"/>
    <w:rsid w:val="46CC1573"/>
    <w:rsid w:val="474565F1"/>
    <w:rsid w:val="4791034E"/>
    <w:rsid w:val="4A8E5D27"/>
    <w:rsid w:val="4AAC7455"/>
    <w:rsid w:val="4BA810F3"/>
    <w:rsid w:val="4C9C6648"/>
    <w:rsid w:val="4DB97CB5"/>
    <w:rsid w:val="51D43012"/>
    <w:rsid w:val="54EA5E98"/>
    <w:rsid w:val="576A5719"/>
    <w:rsid w:val="58A86B47"/>
    <w:rsid w:val="59D8311B"/>
    <w:rsid w:val="5E6861B5"/>
    <w:rsid w:val="5F2A42AF"/>
    <w:rsid w:val="63BC7165"/>
    <w:rsid w:val="655A09D0"/>
    <w:rsid w:val="67526333"/>
    <w:rsid w:val="6BCC6875"/>
    <w:rsid w:val="6C791094"/>
    <w:rsid w:val="6C907071"/>
    <w:rsid w:val="709D5239"/>
    <w:rsid w:val="727E088A"/>
    <w:rsid w:val="72BF5304"/>
    <w:rsid w:val="72D3775A"/>
    <w:rsid w:val="74190691"/>
    <w:rsid w:val="76360691"/>
    <w:rsid w:val="76384889"/>
    <w:rsid w:val="7745137C"/>
    <w:rsid w:val="79387817"/>
    <w:rsid w:val="7D4F5C8D"/>
    <w:rsid w:val="7EF31ABB"/>
  </w:rsids>
  <m:mathPr>
    <m:mathFont m:val="Cambria Math"/>
    <m:brkBin m:val="before"/>
    <m:brkBinSub m:val="--"/>
    <m:smallFrac m:val="1"/>
    <m:dispDef/>
    <m:lMargin m:val="0"/>
    <m:rMargin m:val="0"/>
    <m:defJc m:val="centerGroup"/>
    <m:wrapIndent m:val="1440"/>
    <m:intLim m:val="subSup"/>
    <m:naryLim m:val="undOvr"/>
  </m:mathPr>
  <w:themeFontLang w:val="pt-BR" w:eastAsia="zh-CN"/>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Times New Roman" w:hAnsi="Times New Roman" w:eastAsia="SimSun"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semiHidden="0" w:name="heading 2"/>
    <w:lsdException w:qFormat="1" w:uiPriority="0" w:semiHidden="0" w:name="heading 3"/>
    <w:lsdException w:qFormat="1" w:uiPriority="0" w:semiHidden="0" w:name="heading 4"/>
    <w:lsdException w:qFormat="1" w:uiPriority="0" w:semiHidden="0" w:name="heading 5"/>
    <w:lsdException w:qFormat="1" w:uiPriority="0" w:semiHidden="0" w:name="heading 6"/>
    <w:lsdException w:qFormat="1" w:unhideWhenUsed="0" w:uiPriority="0" w:semiHidden="0" w:name="heading 7"/>
    <w:lsdException w:qFormat="1" w:unhideWhenUsed="0" w:uiPriority="0" w:semiHidden="0" w:name="heading 8"/>
    <w:lsdException w:qFormat="1" w:uiPriority="0" w:semiHidden="0"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uiPriority="39"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qFormat="1" w:unhideWhenUsed="0" w:uiPriority="0" w:name="footnote text"/>
    <w:lsdException w:qFormat="1" w:uiPriority="99" w:name="annotation text"/>
    <w:lsdException w:qFormat="1" w:uiPriority="0" w:semiHidden="0" w:name="header"/>
    <w:lsdException w:qFormat="1" w:uiPriority="99" w:semiHidden="0" w:name="footer"/>
    <w:lsdException w:uiPriority="99" w:name="index heading"/>
    <w:lsdException w:qFormat="1" w:uiPriority="35" w:semiHidden="0" w:name="caption"/>
    <w:lsdException w:qFormat="1" w:uiPriority="99" w:semiHidden="0" w:name="table of figures"/>
    <w:lsdException w:uiPriority="99" w:name="envelope address"/>
    <w:lsdException w:uiPriority="99" w:name="envelope return"/>
    <w:lsdException w:uiPriority="99" w:name="footnote reference"/>
    <w:lsdException w:qFormat="1" w:uiPriority="99" w:name="annotation reference"/>
    <w:lsdException w:uiPriority="99" w:name="line number"/>
    <w:lsdException w:uiPriority="99"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qFormat="1" w:unhideWhenUsed="0" w:uiPriority="0"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0" w:semiHidden="0" w:name="Title"/>
    <w:lsdException w:uiPriority="99" w:name="Closing"/>
    <w:lsdException w:uiPriority="99" w:name="Signature"/>
    <w:lsdException w:qFormat="1" w:uiPriority="1" w:name="Default Paragraph Font"/>
    <w:lsdException w:qFormat="1" w:unhideWhenUsed="0" w:uiPriority="0" w:name="Body Text"/>
    <w:lsdException w:qFormat="1"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uiPriority="99" w:name="Date"/>
    <w:lsdException w:uiPriority="99" w:name="Body Text First Indent"/>
    <w:lsdException w:uiPriority="99" w:name="Body Text First Indent 2"/>
    <w:lsdException w:uiPriority="99" w:name="Note Heading"/>
    <w:lsdException w:uiPriority="99" w:name="Body Text 2"/>
    <w:lsdException w:uiPriority="99" w:name="Body Text 3"/>
    <w:lsdException w:qFormat="1"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qFormat="1" w:uiPriority="99" w:semiHidden="0"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qFormat="1"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qFormat="1" w:uiPriority="0" w:semiHidden="0" w:name="Balloon Text"/>
    <w:lsdException w:qFormat="1" w:unhideWhenUsed="0" w:uiPriority="39" w:semiHidden="0" w:name="Table Grid"/>
    <w:lsdException w:uiPriority="99" w:name="Table Theme"/>
    <w:lsdException w:qFormat="1" w:unhideWhenUsed="0" w:uiPriority="99" w:name="Placeholder Text"/>
    <w:lsdException w:qFormat="1" w:unhideWhenUsed="0" w:uiPriority="34" w:semiHidden="0" w:name="List Paragraph"/>
    <w:lsdException w:qFormat="1" w:unhideWhenUsed="0" w:uiPriority="29" w:semiHidden="0" w:name="Quote"/>
  </w:latentStyles>
  <w:style w:type="paragraph" w:default="1" w:styleId="1">
    <w:name w:val="Normal"/>
    <w:qFormat/>
    <w:uiPriority w:val="0"/>
    <w:pPr>
      <w:spacing w:after="0" w:line="240" w:lineRule="auto"/>
      <w:jc w:val="both"/>
    </w:pPr>
    <w:rPr>
      <w:rFonts w:ascii="Arial" w:hAnsi="Arial" w:cs="Arial" w:eastAsiaTheme="minorHAnsi"/>
      <w:szCs w:val="24"/>
      <w:lang w:val="pt-BR" w:eastAsia="en-US" w:bidi="ar-SA"/>
    </w:rPr>
  </w:style>
  <w:style w:type="paragraph" w:styleId="2">
    <w:name w:val="heading 1"/>
    <w:basedOn w:val="3"/>
    <w:next w:val="1"/>
    <w:link w:val="32"/>
    <w:qFormat/>
    <w:uiPriority w:val="0"/>
    <w:pPr>
      <w:numPr>
        <w:numId w:val="1"/>
      </w:numPr>
      <w:outlineLvl w:val="0"/>
    </w:pPr>
    <w:rPr>
      <w:b/>
    </w:rPr>
  </w:style>
  <w:style w:type="paragraph" w:styleId="4">
    <w:name w:val="heading 2"/>
    <w:basedOn w:val="2"/>
    <w:next w:val="1"/>
    <w:link w:val="33"/>
    <w:unhideWhenUsed/>
    <w:qFormat/>
    <w:uiPriority w:val="0"/>
    <w:pPr>
      <w:numPr>
        <w:ilvl w:val="1"/>
      </w:numPr>
      <w:outlineLvl w:val="1"/>
    </w:pPr>
    <w:rPr>
      <w:b w:val="0"/>
      <w:lang w:eastAsia="pt-BR"/>
    </w:rPr>
  </w:style>
  <w:style w:type="paragraph" w:styleId="5">
    <w:name w:val="heading 3"/>
    <w:basedOn w:val="4"/>
    <w:next w:val="1"/>
    <w:link w:val="34"/>
    <w:unhideWhenUsed/>
    <w:qFormat/>
    <w:uiPriority w:val="0"/>
    <w:pPr>
      <w:numPr>
        <w:ilvl w:val="2"/>
      </w:numPr>
      <w:ind w:left="505" w:hanging="505"/>
      <w:outlineLvl w:val="2"/>
    </w:pPr>
    <w:rPr>
      <w:szCs w:val="20"/>
    </w:rPr>
  </w:style>
  <w:style w:type="paragraph" w:styleId="6">
    <w:name w:val="heading 4"/>
    <w:basedOn w:val="5"/>
    <w:next w:val="1"/>
    <w:link w:val="35"/>
    <w:unhideWhenUsed/>
    <w:qFormat/>
    <w:uiPriority w:val="0"/>
    <w:pPr>
      <w:numPr>
        <w:ilvl w:val="0"/>
        <w:numId w:val="0"/>
      </w:numPr>
      <w:ind w:left="1728" w:hanging="648"/>
      <w:outlineLvl w:val="3"/>
    </w:pPr>
  </w:style>
  <w:style w:type="paragraph" w:styleId="7">
    <w:name w:val="heading 5"/>
    <w:basedOn w:val="1"/>
    <w:next w:val="1"/>
    <w:link w:val="36"/>
    <w:unhideWhenUsed/>
    <w:qFormat/>
    <w:uiPriority w:val="0"/>
    <w:pPr>
      <w:keepNext/>
      <w:keepLines/>
      <w:spacing w:before="200"/>
      <w:outlineLvl w:val="4"/>
    </w:pPr>
    <w:rPr>
      <w:rFonts w:asciiTheme="majorHAnsi" w:hAnsiTheme="majorHAnsi" w:eastAsiaTheme="majorEastAsia" w:cstheme="majorBidi"/>
      <w:color w:val="254061" w:themeColor="accent1" w:themeShade="80"/>
    </w:rPr>
  </w:style>
  <w:style w:type="paragraph" w:styleId="8">
    <w:name w:val="heading 6"/>
    <w:basedOn w:val="1"/>
    <w:next w:val="1"/>
    <w:link w:val="37"/>
    <w:unhideWhenUsed/>
    <w:qFormat/>
    <w:uiPriority w:val="0"/>
    <w:pPr>
      <w:keepNext/>
      <w:keepLines/>
      <w:spacing w:before="200"/>
      <w:outlineLvl w:val="5"/>
    </w:pPr>
    <w:rPr>
      <w:rFonts w:asciiTheme="majorHAnsi" w:hAnsiTheme="majorHAnsi" w:eastAsiaTheme="majorEastAsia" w:cstheme="majorBidi"/>
      <w:i/>
      <w:iCs/>
      <w:color w:val="254061" w:themeColor="accent1" w:themeShade="80"/>
    </w:rPr>
  </w:style>
  <w:style w:type="paragraph" w:styleId="9">
    <w:name w:val="heading 7"/>
    <w:basedOn w:val="1"/>
    <w:next w:val="1"/>
    <w:link w:val="38"/>
    <w:qFormat/>
    <w:uiPriority w:val="0"/>
    <w:pPr>
      <w:keepNext/>
      <w:suppressAutoHyphens/>
      <w:ind w:left="1296" w:hanging="1296"/>
      <w:outlineLvl w:val="6"/>
    </w:pPr>
    <w:rPr>
      <w:rFonts w:eastAsia="Times New Roman" w:cs="Times New Roman"/>
      <w:b/>
      <w:bCs/>
      <w:color w:val="FF0000"/>
      <w:sz w:val="22"/>
      <w:szCs w:val="20"/>
      <w:lang w:eastAsia="ar-SA"/>
    </w:rPr>
  </w:style>
  <w:style w:type="paragraph" w:styleId="10">
    <w:name w:val="heading 8"/>
    <w:basedOn w:val="1"/>
    <w:next w:val="1"/>
    <w:link w:val="39"/>
    <w:qFormat/>
    <w:uiPriority w:val="0"/>
    <w:pPr>
      <w:keepNext/>
      <w:suppressAutoHyphens/>
      <w:spacing w:before="120" w:after="120"/>
      <w:ind w:left="1440" w:hanging="1440"/>
      <w:jc w:val="center"/>
      <w:outlineLvl w:val="7"/>
    </w:pPr>
    <w:rPr>
      <w:rFonts w:eastAsia="Times New Roman" w:cs="Times New Roman"/>
      <w:b/>
      <w:spacing w:val="74"/>
      <w:sz w:val="28"/>
      <w:szCs w:val="20"/>
      <w:lang w:eastAsia="ar-SA"/>
    </w:rPr>
  </w:style>
  <w:style w:type="paragraph" w:styleId="11">
    <w:name w:val="heading 9"/>
    <w:basedOn w:val="1"/>
    <w:next w:val="1"/>
    <w:link w:val="40"/>
    <w:unhideWhenUsed/>
    <w:qFormat/>
    <w:uiPriority w:val="0"/>
    <w:pPr>
      <w:keepNext/>
      <w:keepLines/>
      <w:spacing w:before="200"/>
      <w:outlineLvl w:val="8"/>
    </w:pPr>
    <w:rPr>
      <w:rFonts w:asciiTheme="majorHAnsi" w:hAnsiTheme="majorHAnsi" w:eastAsiaTheme="majorEastAsia" w:cstheme="majorBidi"/>
      <w:i/>
      <w:iCs/>
      <w:color w:val="404040" w:themeColor="text1" w:themeTint="BF"/>
      <w:szCs w:val="20"/>
      <w14:textFill>
        <w14:solidFill>
          <w14:schemeClr w14:val="tx1">
            <w14:lumMod w14:val="75000"/>
            <w14:lumOff w14:val="25000"/>
          </w14:schemeClr>
        </w14:solidFill>
      </w14:textFill>
    </w:rPr>
  </w:style>
  <w:style w:type="character" w:default="1" w:styleId="27">
    <w:name w:val="Default Paragraph Font"/>
    <w:semiHidden/>
    <w:unhideWhenUsed/>
    <w:qFormat/>
    <w:uiPriority w:val="1"/>
  </w:style>
  <w:style w:type="table" w:default="1" w:styleId="30">
    <w:name w:val="Normal Table"/>
    <w:semiHidden/>
    <w:unhideWhenUsed/>
    <w:qFormat/>
    <w:uiPriority w:val="99"/>
    <w:tblPr>
      <w:tblLayout w:type="fixed"/>
      <w:tblCellMar>
        <w:top w:w="0" w:type="dxa"/>
        <w:left w:w="108" w:type="dxa"/>
        <w:bottom w:w="0" w:type="dxa"/>
        <w:right w:w="108" w:type="dxa"/>
      </w:tblCellMar>
    </w:tblPr>
  </w:style>
  <w:style w:type="paragraph" w:styleId="3">
    <w:name w:val="List Paragraph"/>
    <w:basedOn w:val="1"/>
    <w:qFormat/>
    <w:uiPriority w:val="34"/>
    <w:pPr>
      <w:numPr>
        <w:ilvl w:val="0"/>
        <w:numId w:val="2"/>
      </w:numPr>
      <w:contextualSpacing/>
    </w:pPr>
  </w:style>
  <w:style w:type="paragraph" w:styleId="12">
    <w:name w:val="Body Text"/>
    <w:basedOn w:val="1"/>
    <w:link w:val="48"/>
    <w:semiHidden/>
    <w:qFormat/>
    <w:uiPriority w:val="0"/>
    <w:pPr>
      <w:suppressAutoHyphens/>
      <w:jc w:val="center"/>
    </w:pPr>
    <w:rPr>
      <w:rFonts w:ascii="Times New Roman" w:hAnsi="Times New Roman" w:eastAsia="Times New Roman" w:cs="Times New Roman"/>
      <w:b/>
      <w:i/>
      <w:color w:val="000000"/>
      <w:szCs w:val="20"/>
      <w:lang w:val="pt-PT"/>
    </w:rPr>
  </w:style>
  <w:style w:type="paragraph" w:styleId="13">
    <w:name w:val="annotation text"/>
    <w:basedOn w:val="1"/>
    <w:link w:val="66"/>
    <w:semiHidden/>
    <w:unhideWhenUsed/>
    <w:qFormat/>
    <w:uiPriority w:val="99"/>
    <w:rPr>
      <w:szCs w:val="20"/>
    </w:rPr>
  </w:style>
  <w:style w:type="paragraph" w:styleId="14">
    <w:name w:val="Body Text Indent 2"/>
    <w:basedOn w:val="1"/>
    <w:link w:val="60"/>
    <w:semiHidden/>
    <w:unhideWhenUsed/>
    <w:qFormat/>
    <w:uiPriority w:val="99"/>
    <w:pPr>
      <w:spacing w:after="120" w:line="480" w:lineRule="auto"/>
      <w:ind w:left="283"/>
    </w:pPr>
  </w:style>
  <w:style w:type="paragraph" w:styleId="15">
    <w:name w:val="table of figures"/>
    <w:basedOn w:val="1"/>
    <w:next w:val="1"/>
    <w:unhideWhenUsed/>
    <w:qFormat/>
    <w:uiPriority w:val="99"/>
  </w:style>
  <w:style w:type="paragraph" w:styleId="16">
    <w:name w:val="Title"/>
    <w:basedOn w:val="1"/>
    <w:link w:val="52"/>
    <w:qFormat/>
    <w:uiPriority w:val="0"/>
    <w:pPr>
      <w:spacing w:before="240" w:after="60"/>
      <w:jc w:val="center"/>
      <w:outlineLvl w:val="0"/>
    </w:pPr>
    <w:rPr>
      <w:rFonts w:eastAsia="Times New Roman"/>
      <w:b/>
      <w:bCs/>
      <w:kern w:val="28"/>
      <w:sz w:val="28"/>
      <w:szCs w:val="32"/>
      <w:lang w:eastAsia="pt-BR"/>
    </w:rPr>
  </w:style>
  <w:style w:type="paragraph" w:styleId="17">
    <w:name w:val="Normal (Web)"/>
    <w:basedOn w:val="1"/>
    <w:unhideWhenUsed/>
    <w:qFormat/>
    <w:uiPriority w:val="99"/>
    <w:pPr>
      <w:spacing w:before="100" w:beforeAutospacing="1" w:after="100" w:afterAutospacing="1"/>
      <w:jc w:val="left"/>
    </w:pPr>
    <w:rPr>
      <w:rFonts w:ascii="Times New Roman" w:hAnsi="Times New Roman" w:eastAsia="Times New Roman" w:cs="Times New Roman"/>
      <w:sz w:val="24"/>
      <w:lang w:eastAsia="pt-BR"/>
    </w:rPr>
  </w:style>
  <w:style w:type="paragraph" w:styleId="18">
    <w:name w:val="header"/>
    <w:basedOn w:val="1"/>
    <w:link w:val="41"/>
    <w:unhideWhenUsed/>
    <w:qFormat/>
    <w:uiPriority w:val="0"/>
    <w:pPr>
      <w:tabs>
        <w:tab w:val="center" w:pos="4252"/>
        <w:tab w:val="right" w:pos="8504"/>
      </w:tabs>
    </w:pPr>
  </w:style>
  <w:style w:type="paragraph" w:styleId="19">
    <w:name w:val="annotation subject"/>
    <w:basedOn w:val="13"/>
    <w:next w:val="13"/>
    <w:link w:val="67"/>
    <w:semiHidden/>
    <w:unhideWhenUsed/>
    <w:qFormat/>
    <w:uiPriority w:val="99"/>
    <w:rPr>
      <w:b/>
      <w:bCs/>
    </w:rPr>
  </w:style>
  <w:style w:type="paragraph" w:styleId="20">
    <w:name w:val="footer"/>
    <w:basedOn w:val="1"/>
    <w:link w:val="42"/>
    <w:unhideWhenUsed/>
    <w:qFormat/>
    <w:uiPriority w:val="99"/>
    <w:pPr>
      <w:tabs>
        <w:tab w:val="center" w:pos="4252"/>
        <w:tab w:val="right" w:pos="8504"/>
      </w:tabs>
    </w:pPr>
  </w:style>
  <w:style w:type="paragraph" w:styleId="21">
    <w:name w:val="caption"/>
    <w:basedOn w:val="1"/>
    <w:next w:val="1"/>
    <w:unhideWhenUsed/>
    <w:qFormat/>
    <w:uiPriority w:val="35"/>
    <w:pPr>
      <w:jc w:val="center"/>
    </w:pPr>
    <w:rPr>
      <w:rFonts w:ascii="Arial Negrito" w:hAnsi="Arial Negrito" w:eastAsiaTheme="minorEastAsia"/>
      <w:bCs/>
      <w:szCs w:val="18"/>
    </w:rPr>
  </w:style>
  <w:style w:type="paragraph" w:styleId="22">
    <w:name w:val="Balloon Text"/>
    <w:basedOn w:val="1"/>
    <w:link w:val="43"/>
    <w:unhideWhenUsed/>
    <w:qFormat/>
    <w:uiPriority w:val="0"/>
    <w:rPr>
      <w:rFonts w:ascii="Tahoma" w:hAnsi="Tahoma" w:cs="Tahoma"/>
      <w:sz w:val="16"/>
      <w:szCs w:val="16"/>
    </w:rPr>
  </w:style>
  <w:style w:type="paragraph" w:styleId="23">
    <w:name w:val="footnote text"/>
    <w:basedOn w:val="1"/>
    <w:link w:val="53"/>
    <w:semiHidden/>
    <w:qFormat/>
    <w:uiPriority w:val="0"/>
    <w:pPr>
      <w:jc w:val="left"/>
    </w:pPr>
    <w:rPr>
      <w:rFonts w:ascii="Times New Roman" w:hAnsi="Times New Roman" w:eastAsia="Times New Roman" w:cs="Times New Roman"/>
      <w:szCs w:val="20"/>
      <w:lang w:eastAsia="pt-BR"/>
    </w:rPr>
  </w:style>
  <w:style w:type="paragraph" w:styleId="24">
    <w:name w:val="toc 1"/>
    <w:basedOn w:val="1"/>
    <w:next w:val="1"/>
    <w:unhideWhenUsed/>
    <w:qFormat/>
    <w:uiPriority w:val="39"/>
    <w:pPr>
      <w:tabs>
        <w:tab w:val="left" w:pos="660"/>
        <w:tab w:val="right" w:leader="dot" w:pos="9061"/>
      </w:tabs>
      <w:spacing w:line="360" w:lineRule="auto"/>
    </w:pPr>
    <w:rPr>
      <w:szCs w:val="20"/>
    </w:rPr>
  </w:style>
  <w:style w:type="paragraph" w:styleId="25">
    <w:name w:val="List Number"/>
    <w:basedOn w:val="1"/>
    <w:semiHidden/>
    <w:qFormat/>
    <w:uiPriority w:val="0"/>
    <w:pPr>
      <w:keepNext/>
      <w:tabs>
        <w:tab w:val="left" w:pos="1474"/>
      </w:tabs>
      <w:spacing w:after="60"/>
      <w:ind w:left="1474" w:hanging="459"/>
    </w:pPr>
    <w:rPr>
      <w:rFonts w:ascii="Times New Roman" w:hAnsi="Times New Roman" w:eastAsia="Times New Roman" w:cs="Times New Roman"/>
      <w:szCs w:val="20"/>
      <w:lang w:eastAsia="pt-BR"/>
    </w:rPr>
  </w:style>
  <w:style w:type="paragraph" w:styleId="26">
    <w:name w:val="Body Text Indent"/>
    <w:basedOn w:val="1"/>
    <w:link w:val="57"/>
    <w:semiHidden/>
    <w:unhideWhenUsed/>
    <w:qFormat/>
    <w:uiPriority w:val="99"/>
    <w:pPr>
      <w:spacing w:after="120"/>
      <w:ind w:left="283"/>
    </w:pPr>
  </w:style>
  <w:style w:type="character" w:styleId="28">
    <w:name w:val="annotation reference"/>
    <w:basedOn w:val="27"/>
    <w:semiHidden/>
    <w:unhideWhenUsed/>
    <w:qFormat/>
    <w:uiPriority w:val="99"/>
    <w:rPr>
      <w:sz w:val="16"/>
      <w:szCs w:val="16"/>
    </w:rPr>
  </w:style>
  <w:style w:type="character" w:styleId="29">
    <w:name w:val="Hyperlink"/>
    <w:basedOn w:val="27"/>
    <w:unhideWhenUsed/>
    <w:qFormat/>
    <w:uiPriority w:val="99"/>
    <w:rPr>
      <w:color w:val="0000FF" w:themeColor="hyperlink"/>
      <w:u w:val="single"/>
      <w14:textFill>
        <w14:solidFill>
          <w14:schemeClr w14:val="hlink"/>
        </w14:solidFill>
      </w14:textFill>
    </w:rPr>
  </w:style>
  <w:style w:type="table" w:styleId="31">
    <w:name w:val="Table Grid"/>
    <w:basedOn w:val="30"/>
    <w:qFormat/>
    <w:uiPriority w:val="39"/>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style>
  <w:style w:type="character" w:customStyle="1" w:styleId="32">
    <w:name w:val="Título 1 Char"/>
    <w:basedOn w:val="27"/>
    <w:link w:val="2"/>
    <w:qFormat/>
    <w:uiPriority w:val="0"/>
    <w:rPr>
      <w:rFonts w:ascii="Arial" w:hAnsi="Arial" w:cs="Arial" w:eastAsiaTheme="minorHAnsi"/>
      <w:b/>
      <w:szCs w:val="24"/>
      <w:lang w:eastAsia="en-US"/>
    </w:rPr>
  </w:style>
  <w:style w:type="character" w:customStyle="1" w:styleId="33">
    <w:name w:val="Título 2 Char"/>
    <w:basedOn w:val="27"/>
    <w:link w:val="4"/>
    <w:qFormat/>
    <w:uiPriority w:val="0"/>
    <w:rPr>
      <w:rFonts w:ascii="Arial" w:hAnsi="Arial" w:cs="Arial" w:eastAsiaTheme="minorHAnsi"/>
      <w:szCs w:val="24"/>
    </w:rPr>
  </w:style>
  <w:style w:type="character" w:customStyle="1" w:styleId="34">
    <w:name w:val="Título 3 Char"/>
    <w:basedOn w:val="27"/>
    <w:link w:val="5"/>
    <w:qFormat/>
    <w:uiPriority w:val="0"/>
    <w:rPr>
      <w:rFonts w:ascii="Arial" w:hAnsi="Arial" w:cs="Arial" w:eastAsiaTheme="minorHAnsi"/>
    </w:rPr>
  </w:style>
  <w:style w:type="character" w:customStyle="1" w:styleId="35">
    <w:name w:val="Título 4 Char"/>
    <w:basedOn w:val="27"/>
    <w:link w:val="6"/>
    <w:qFormat/>
    <w:uiPriority w:val="0"/>
    <w:rPr>
      <w:rFonts w:ascii="Arial" w:hAnsi="Arial" w:cs="Arial"/>
      <w:sz w:val="20"/>
      <w:szCs w:val="20"/>
      <w:lang w:eastAsia="pt-BR"/>
    </w:rPr>
  </w:style>
  <w:style w:type="character" w:customStyle="1" w:styleId="36">
    <w:name w:val="Título 5 Char"/>
    <w:basedOn w:val="27"/>
    <w:link w:val="7"/>
    <w:semiHidden/>
    <w:qFormat/>
    <w:uiPriority w:val="9"/>
    <w:rPr>
      <w:rFonts w:asciiTheme="majorHAnsi" w:hAnsiTheme="majorHAnsi" w:eastAsiaTheme="majorEastAsia" w:cstheme="majorBidi"/>
      <w:color w:val="254061" w:themeColor="accent1" w:themeShade="80"/>
      <w:sz w:val="24"/>
      <w:szCs w:val="24"/>
    </w:rPr>
  </w:style>
  <w:style w:type="character" w:customStyle="1" w:styleId="37">
    <w:name w:val="Título 6 Char"/>
    <w:basedOn w:val="27"/>
    <w:link w:val="8"/>
    <w:semiHidden/>
    <w:qFormat/>
    <w:uiPriority w:val="9"/>
    <w:rPr>
      <w:rFonts w:asciiTheme="majorHAnsi" w:hAnsiTheme="majorHAnsi" w:eastAsiaTheme="majorEastAsia" w:cstheme="majorBidi"/>
      <w:i/>
      <w:iCs/>
      <w:color w:val="254061" w:themeColor="accent1" w:themeShade="80"/>
      <w:sz w:val="24"/>
      <w:szCs w:val="24"/>
    </w:rPr>
  </w:style>
  <w:style w:type="character" w:customStyle="1" w:styleId="38">
    <w:name w:val="Título 7 Char"/>
    <w:basedOn w:val="27"/>
    <w:link w:val="9"/>
    <w:qFormat/>
    <w:uiPriority w:val="0"/>
    <w:rPr>
      <w:rFonts w:ascii="Arial" w:hAnsi="Arial" w:eastAsia="Times New Roman" w:cs="Times New Roman"/>
      <w:b/>
      <w:bCs/>
      <w:color w:val="FF0000"/>
      <w:szCs w:val="20"/>
      <w:lang w:eastAsia="ar-SA"/>
    </w:rPr>
  </w:style>
  <w:style w:type="character" w:customStyle="1" w:styleId="39">
    <w:name w:val="Título 8 Char"/>
    <w:basedOn w:val="27"/>
    <w:link w:val="10"/>
    <w:qFormat/>
    <w:uiPriority w:val="0"/>
    <w:rPr>
      <w:rFonts w:ascii="Arial" w:hAnsi="Arial" w:eastAsia="Times New Roman" w:cs="Times New Roman"/>
      <w:b/>
      <w:spacing w:val="74"/>
      <w:sz w:val="28"/>
      <w:szCs w:val="20"/>
      <w:lang w:eastAsia="ar-SA"/>
    </w:rPr>
  </w:style>
  <w:style w:type="character" w:customStyle="1" w:styleId="40">
    <w:name w:val="Título 9 Char"/>
    <w:basedOn w:val="27"/>
    <w:link w:val="11"/>
    <w:semiHidden/>
    <w:qFormat/>
    <w:uiPriority w:val="9"/>
    <w:rPr>
      <w:rFonts w:asciiTheme="majorHAnsi" w:hAnsiTheme="majorHAnsi" w:eastAsiaTheme="majorEastAsia" w:cstheme="majorBidi"/>
      <w:i/>
      <w:iCs/>
      <w:color w:val="404040" w:themeColor="text1" w:themeTint="BF"/>
      <w:sz w:val="20"/>
      <w:szCs w:val="20"/>
      <w14:textFill>
        <w14:solidFill>
          <w14:schemeClr w14:val="tx1">
            <w14:lumMod w14:val="75000"/>
            <w14:lumOff w14:val="25000"/>
          </w14:schemeClr>
        </w14:solidFill>
      </w14:textFill>
    </w:rPr>
  </w:style>
  <w:style w:type="character" w:customStyle="1" w:styleId="41">
    <w:name w:val="Cabeçalho Char"/>
    <w:basedOn w:val="27"/>
    <w:link w:val="18"/>
    <w:qFormat/>
    <w:uiPriority w:val="0"/>
    <w:rPr>
      <w:rFonts w:ascii="Arial" w:hAnsi="Arial" w:cs="Arial"/>
      <w:sz w:val="24"/>
      <w:szCs w:val="24"/>
    </w:rPr>
  </w:style>
  <w:style w:type="character" w:customStyle="1" w:styleId="42">
    <w:name w:val="Rodapé Char"/>
    <w:basedOn w:val="27"/>
    <w:link w:val="20"/>
    <w:qFormat/>
    <w:uiPriority w:val="99"/>
    <w:rPr>
      <w:rFonts w:ascii="Arial" w:hAnsi="Arial" w:cs="Arial"/>
      <w:sz w:val="24"/>
      <w:szCs w:val="24"/>
    </w:rPr>
  </w:style>
  <w:style w:type="character" w:customStyle="1" w:styleId="43">
    <w:name w:val="Texto de balão Char"/>
    <w:basedOn w:val="27"/>
    <w:link w:val="22"/>
    <w:semiHidden/>
    <w:qFormat/>
    <w:uiPriority w:val="99"/>
    <w:rPr>
      <w:rFonts w:ascii="Tahoma" w:hAnsi="Tahoma" w:cs="Tahoma"/>
      <w:sz w:val="16"/>
      <w:szCs w:val="16"/>
    </w:rPr>
  </w:style>
  <w:style w:type="paragraph" w:customStyle="1" w:styleId="44">
    <w:name w:val="OmniPage #1794"/>
    <w:qFormat/>
    <w:uiPriority w:val="0"/>
    <w:pPr>
      <w:tabs>
        <w:tab w:val="left" w:pos="484"/>
        <w:tab w:val="right" w:pos="8149"/>
      </w:tabs>
      <w:spacing w:after="0" w:line="352" w:lineRule="exact"/>
    </w:pPr>
    <w:rPr>
      <w:rFonts w:ascii="Times New Roman" w:hAnsi="Times New Roman" w:eastAsia="Times New Roman" w:cs="Times New Roman"/>
      <w:sz w:val="24"/>
      <w:lang w:val="en-US" w:eastAsia="pt-BR" w:bidi="ar-SA"/>
    </w:rPr>
  </w:style>
  <w:style w:type="paragraph" w:customStyle="1" w:styleId="45">
    <w:name w:val="Padrão"/>
    <w:qFormat/>
    <w:uiPriority w:val="0"/>
    <w:pPr>
      <w:tabs>
        <w:tab w:val="left" w:pos="709"/>
      </w:tabs>
      <w:suppressAutoHyphens/>
      <w:spacing w:after="200" w:line="276" w:lineRule="auto"/>
    </w:pPr>
    <w:rPr>
      <w:rFonts w:ascii="Calibri" w:hAnsi="Calibri" w:eastAsia="Times New Roman" w:cs="Times New Roman"/>
      <w:color w:val="00000A"/>
      <w:lang w:val="pt-BR" w:eastAsia="zh-CN" w:bidi="ar-SA"/>
    </w:rPr>
  </w:style>
  <w:style w:type="paragraph" w:customStyle="1" w:styleId="46">
    <w:name w:val="Parágrafo da Lista1"/>
    <w:basedOn w:val="1"/>
    <w:qFormat/>
    <w:uiPriority w:val="0"/>
    <w:pPr>
      <w:spacing w:before="120" w:after="120" w:line="360" w:lineRule="auto"/>
      <w:ind w:left="720"/>
    </w:pPr>
    <w:rPr>
      <w:rFonts w:eastAsia="Times New Roman"/>
    </w:rPr>
  </w:style>
  <w:style w:type="paragraph" w:customStyle="1" w:styleId="47">
    <w:name w:val="Item"/>
    <w:basedOn w:val="45"/>
    <w:qFormat/>
    <w:uiPriority w:val="0"/>
    <w:rPr>
      <w:rFonts w:ascii="Arial" w:hAnsi="Arial" w:cs="Arial"/>
      <w:b/>
      <w:bCs/>
      <w:sz w:val="24"/>
      <w:szCs w:val="24"/>
      <w:u w:val="single"/>
    </w:rPr>
  </w:style>
  <w:style w:type="character" w:customStyle="1" w:styleId="48">
    <w:name w:val="Corpo de texto Char"/>
    <w:basedOn w:val="27"/>
    <w:link w:val="12"/>
    <w:semiHidden/>
    <w:qFormat/>
    <w:uiPriority w:val="0"/>
    <w:rPr>
      <w:rFonts w:ascii="Times New Roman" w:hAnsi="Times New Roman" w:eastAsia="Times New Roman" w:cs="Times New Roman"/>
      <w:b/>
      <w:i/>
      <w:color w:val="000000"/>
      <w:sz w:val="20"/>
      <w:szCs w:val="20"/>
      <w:lang w:val="pt-PT"/>
    </w:rPr>
  </w:style>
  <w:style w:type="paragraph" w:customStyle="1" w:styleId="49">
    <w:name w:val="Corpo de texto 31"/>
    <w:basedOn w:val="1"/>
    <w:qFormat/>
    <w:uiPriority w:val="0"/>
    <w:pPr>
      <w:suppressAutoHyphens/>
      <w:spacing w:line="270" w:lineRule="exact"/>
    </w:pPr>
    <w:rPr>
      <w:rFonts w:eastAsia="Times New Roman" w:cs="Times New Roman"/>
      <w:szCs w:val="20"/>
      <w:lang w:eastAsia="ar-SA"/>
    </w:rPr>
  </w:style>
  <w:style w:type="paragraph" w:customStyle="1" w:styleId="50">
    <w:name w:val="FR-PARAGRAFO TITULO FOLHA ROSTO"/>
    <w:qFormat/>
    <w:uiPriority w:val="0"/>
    <w:pPr>
      <w:suppressAutoHyphens/>
      <w:spacing w:before="4600" w:after="200" w:line="480" w:lineRule="exact"/>
      <w:jc w:val="center"/>
    </w:pPr>
    <w:rPr>
      <w:rFonts w:ascii="Calibri" w:hAnsi="Calibri" w:eastAsia="Arial" w:cs="Times New Roman"/>
      <w:b/>
      <w:caps/>
      <w:sz w:val="28"/>
      <w:szCs w:val="22"/>
      <w:lang w:val="pt-BR" w:eastAsia="ar-SA" w:bidi="ar-SA"/>
    </w:rPr>
  </w:style>
  <w:style w:type="paragraph" w:customStyle="1" w:styleId="51">
    <w:name w:val="xl66"/>
    <w:basedOn w:val="1"/>
    <w:qFormat/>
    <w:uiPriority w:val="0"/>
    <w:pPr>
      <w:spacing w:before="100" w:after="100" w:line="276" w:lineRule="auto"/>
      <w:jc w:val="left"/>
      <w:textAlignment w:val="center"/>
    </w:pPr>
    <w:rPr>
      <w:rFonts w:eastAsia="Calibri"/>
      <w:sz w:val="16"/>
      <w:szCs w:val="16"/>
      <w:lang w:eastAsia="pt-BR"/>
    </w:rPr>
  </w:style>
  <w:style w:type="character" w:customStyle="1" w:styleId="52">
    <w:name w:val="Título Char"/>
    <w:basedOn w:val="27"/>
    <w:link w:val="16"/>
    <w:qFormat/>
    <w:uiPriority w:val="0"/>
    <w:rPr>
      <w:rFonts w:ascii="Arial" w:hAnsi="Arial" w:eastAsia="Times New Roman" w:cs="Arial"/>
      <w:b/>
      <w:bCs/>
      <w:kern w:val="28"/>
      <w:sz w:val="28"/>
      <w:szCs w:val="32"/>
      <w:lang w:eastAsia="pt-BR"/>
    </w:rPr>
  </w:style>
  <w:style w:type="character" w:customStyle="1" w:styleId="53">
    <w:name w:val="Texto de nota de rodapé Char"/>
    <w:basedOn w:val="27"/>
    <w:link w:val="23"/>
    <w:semiHidden/>
    <w:qFormat/>
    <w:uiPriority w:val="0"/>
    <w:rPr>
      <w:rFonts w:ascii="Times New Roman" w:hAnsi="Times New Roman" w:eastAsia="Times New Roman" w:cs="Times New Roman"/>
      <w:sz w:val="24"/>
      <w:szCs w:val="20"/>
      <w:lang w:eastAsia="pt-BR"/>
    </w:rPr>
  </w:style>
  <w:style w:type="paragraph" w:customStyle="1" w:styleId="54">
    <w:name w:val="Default"/>
    <w:qFormat/>
    <w:uiPriority w:val="0"/>
    <w:pPr>
      <w:widowControl w:val="0"/>
      <w:autoSpaceDE w:val="0"/>
      <w:autoSpaceDN w:val="0"/>
      <w:adjustRightInd w:val="0"/>
      <w:spacing w:after="0" w:line="240" w:lineRule="auto"/>
    </w:pPr>
    <w:rPr>
      <w:rFonts w:ascii="Times New Roman PS" w:hAnsi="Times New Roman PS" w:eastAsia="Times New Roman" w:cs="Times New Roman"/>
      <w:color w:val="000000"/>
      <w:sz w:val="24"/>
      <w:szCs w:val="24"/>
      <w:lang w:val="pt-BR" w:eastAsia="pt-BR" w:bidi="ar-SA"/>
    </w:rPr>
  </w:style>
  <w:style w:type="paragraph" w:customStyle="1" w:styleId="55">
    <w:name w:val="Parágrafo da Lista2"/>
    <w:basedOn w:val="1"/>
    <w:qFormat/>
    <w:uiPriority w:val="0"/>
    <w:pPr>
      <w:spacing w:before="120" w:after="120" w:line="360" w:lineRule="auto"/>
      <w:ind w:left="720"/>
    </w:pPr>
    <w:rPr>
      <w:rFonts w:eastAsia="Times New Roman"/>
    </w:rPr>
  </w:style>
  <w:style w:type="paragraph" w:customStyle="1" w:styleId="56">
    <w:name w:val="xl77"/>
    <w:basedOn w:val="1"/>
    <w:qFormat/>
    <w:uiPriority w:val="0"/>
    <w:pPr>
      <w:pBdr>
        <w:left w:val="single" w:color="auto" w:sz="4" w:space="0"/>
        <w:bottom w:val="single" w:color="auto" w:sz="4" w:space="0"/>
      </w:pBdr>
      <w:spacing w:before="100" w:beforeAutospacing="1" w:after="100" w:afterAutospacing="1"/>
      <w:jc w:val="center"/>
      <w:textAlignment w:val="top"/>
    </w:pPr>
    <w:rPr>
      <w:rFonts w:eastAsia="Arial Unicode MS"/>
      <w:b/>
      <w:bCs/>
      <w:lang w:eastAsia="pt-BR"/>
    </w:rPr>
  </w:style>
  <w:style w:type="character" w:customStyle="1" w:styleId="57">
    <w:name w:val="Recuo de corpo de texto Char"/>
    <w:basedOn w:val="27"/>
    <w:link w:val="26"/>
    <w:semiHidden/>
    <w:qFormat/>
    <w:uiPriority w:val="99"/>
    <w:rPr>
      <w:rFonts w:ascii="Arial" w:hAnsi="Arial" w:cs="Arial"/>
      <w:sz w:val="24"/>
      <w:szCs w:val="24"/>
    </w:rPr>
  </w:style>
  <w:style w:type="character" w:styleId="58">
    <w:name w:val="Placeholder Text"/>
    <w:basedOn w:val="27"/>
    <w:semiHidden/>
    <w:qFormat/>
    <w:uiPriority w:val="99"/>
    <w:rPr>
      <w:color w:val="808080"/>
    </w:rPr>
  </w:style>
  <w:style w:type="character" w:customStyle="1" w:styleId="59">
    <w:name w:val="apple-converted-space"/>
    <w:basedOn w:val="27"/>
    <w:qFormat/>
    <w:uiPriority w:val="0"/>
  </w:style>
  <w:style w:type="character" w:customStyle="1" w:styleId="60">
    <w:name w:val="Recuo de corpo de texto 2 Char"/>
    <w:basedOn w:val="27"/>
    <w:link w:val="14"/>
    <w:semiHidden/>
    <w:qFormat/>
    <w:uiPriority w:val="99"/>
    <w:rPr>
      <w:rFonts w:ascii="Arial" w:hAnsi="Arial" w:cs="Arial"/>
      <w:sz w:val="20"/>
      <w:szCs w:val="24"/>
    </w:rPr>
  </w:style>
  <w:style w:type="character" w:customStyle="1" w:styleId="61">
    <w:name w:val="WW8Num4z0"/>
    <w:qFormat/>
    <w:uiPriority w:val="0"/>
  </w:style>
  <w:style w:type="character" w:customStyle="1" w:styleId="62">
    <w:name w:val="Absatz-Standardschriftart"/>
    <w:qFormat/>
    <w:uiPriority w:val="0"/>
  </w:style>
  <w:style w:type="paragraph" w:styleId="63">
    <w:name w:val="Quote"/>
    <w:basedOn w:val="1"/>
    <w:next w:val="1"/>
    <w:link w:val="64"/>
    <w:qFormat/>
    <w:uiPriority w:val="29"/>
    <w:pPr>
      <w:pBdr>
        <w:top w:val="single" w:color="1F497D" w:sz="4" w:space="1"/>
        <w:left w:val="single" w:color="1F497D" w:sz="4" w:space="4"/>
        <w:bottom w:val="single" w:color="1F497D" w:sz="4" w:space="1"/>
        <w:right w:val="single" w:color="1F497D" w:sz="4" w:space="4"/>
      </w:pBdr>
      <w:shd w:val="clear" w:color="auto" w:fill="FFFFCC"/>
      <w:spacing w:before="120"/>
    </w:pPr>
    <w:rPr>
      <w:rFonts w:eastAsia="Calibri" w:cs="Tahoma"/>
      <w:i/>
      <w:iCs/>
      <w:color w:val="000000"/>
    </w:rPr>
  </w:style>
  <w:style w:type="character" w:customStyle="1" w:styleId="64">
    <w:name w:val="Citação Char"/>
    <w:basedOn w:val="27"/>
    <w:link w:val="63"/>
    <w:qFormat/>
    <w:uiPriority w:val="29"/>
    <w:rPr>
      <w:rFonts w:ascii="Arial" w:hAnsi="Arial" w:eastAsia="Calibri" w:cs="Tahoma"/>
      <w:i/>
      <w:iCs/>
      <w:color w:val="000000"/>
      <w:sz w:val="20"/>
      <w:szCs w:val="24"/>
      <w:shd w:val="clear" w:color="auto" w:fill="FFFFCC"/>
    </w:rPr>
  </w:style>
  <w:style w:type="paragraph" w:customStyle="1" w:styleId="65">
    <w:name w:val="textbody"/>
    <w:basedOn w:val="1"/>
    <w:qFormat/>
    <w:uiPriority w:val="0"/>
    <w:pPr>
      <w:spacing w:before="100" w:beforeAutospacing="1" w:after="100" w:afterAutospacing="1"/>
      <w:jc w:val="left"/>
    </w:pPr>
    <w:rPr>
      <w:rFonts w:ascii="Times New Roman" w:hAnsi="Times New Roman" w:eastAsia="Times New Roman" w:cs="Times New Roman"/>
      <w:sz w:val="24"/>
      <w:lang w:eastAsia="pt-BR"/>
    </w:rPr>
  </w:style>
  <w:style w:type="character" w:customStyle="1" w:styleId="66">
    <w:name w:val="Texto de comentário Char"/>
    <w:basedOn w:val="27"/>
    <w:link w:val="13"/>
    <w:semiHidden/>
    <w:qFormat/>
    <w:uiPriority w:val="99"/>
    <w:rPr>
      <w:rFonts w:ascii="Arial" w:hAnsi="Arial" w:cs="Arial" w:eastAsiaTheme="minorHAnsi"/>
      <w:lang w:eastAsia="en-US"/>
    </w:rPr>
  </w:style>
  <w:style w:type="character" w:customStyle="1" w:styleId="67">
    <w:name w:val="Assunto do comentário Char"/>
    <w:basedOn w:val="66"/>
    <w:link w:val="19"/>
    <w:semiHidden/>
    <w:qFormat/>
    <w:uiPriority w:val="99"/>
    <w:rPr>
      <w:b/>
      <w:bCs/>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theme" Target="theme/theme1.xml"/><Relationship Id="rId7" Type="http://schemas.openxmlformats.org/officeDocument/2006/relationships/footer" Target="footer2.xml"/><Relationship Id="rId6" Type="http://schemas.openxmlformats.org/officeDocument/2006/relationships/header" Target="header3.xml"/><Relationship Id="rId5" Type="http://schemas.openxmlformats.org/officeDocument/2006/relationships/footer" Target="footer1.xml"/><Relationship Id="rId4" Type="http://schemas.openxmlformats.org/officeDocument/2006/relationships/header" Target="header2.xml"/><Relationship Id="rId3" Type="http://schemas.openxmlformats.org/officeDocument/2006/relationships/header" Target="header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2.xml"/><Relationship Id="rId12" Type="http://schemas.openxmlformats.org/officeDocument/2006/relationships/numbering" Target="numbering.xml"/><Relationship Id="rId11" Type="http://schemas.openxmlformats.org/officeDocument/2006/relationships/customXml" Target="../customXml/item1.xml"/><Relationship Id="rId10" Type="http://schemas.openxmlformats.org/officeDocument/2006/relationships/image" Target="media/image3.png"/><Relationship Id="rId1" Type="http://schemas.openxmlformats.org/officeDocument/2006/relationships/styles" Target="styles.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1.png"/></Relationships>
</file>

<file path=word/_rels/header3.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61054FFD-4C32-4AF0-B5EF-F9693BEDF648}">
  <ds:schemaRefs/>
</ds:datastoreItem>
</file>

<file path=docProps/app.xml><?xml version="1.0" encoding="utf-8"?>
<Properties xmlns="http://schemas.openxmlformats.org/officeDocument/2006/extended-properties" xmlns:vt="http://schemas.openxmlformats.org/officeDocument/2006/docPropsVTypes">
  <Template>Normal</Template>
  <Company>Hewlett-Packard Company</Company>
  <Pages>1</Pages>
  <Words>15313</Words>
  <Characters>82695</Characters>
  <Lines>1</Lines>
  <Paragraphs>1</Paragraphs>
  <TotalTime>91</TotalTime>
  <ScaleCrop>false</ScaleCrop>
  <LinksUpToDate>false</LinksUpToDate>
  <CharactersWithSpaces>97813</CharactersWithSpaces>
  <Application>WPS Office_11.2.0.8942_F1E327BC-269C-435d-A152-05C5408002CA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2021-10-15T02:48:00Z</dcterms:created>
  <dc:creator>Renato José da Silva Isacksson</dc:creator>
  <cp:lastModifiedBy>johnnatan.nogueira</cp:lastModifiedBy>
  <cp:lastPrinted>2021-08-04T19:27:00Z</cp:lastPrinted>
  <dcterms:modified xsi:type="dcterms:W3CDTF">2021-11-23T14:49:41Z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1046-11.2.0.8942</vt:lpwstr>
  </property>
</Properties>
</file>