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B2A" w:rsidRPr="00B42371" w:rsidRDefault="00316B2A" w:rsidP="000B0263">
      <w:bookmarkStart w:id="0" w:name="_GoBack"/>
      <w:bookmarkEnd w:id="0"/>
    </w:p>
    <w:p w:rsidR="00316B2A" w:rsidRPr="00B42371" w:rsidRDefault="00316B2A" w:rsidP="000B0263"/>
    <w:p w:rsidR="00316B2A" w:rsidRPr="00B42371" w:rsidRDefault="00316B2A" w:rsidP="000B0263"/>
    <w:p w:rsidR="00316B2A" w:rsidRPr="00B42371" w:rsidRDefault="00316B2A" w:rsidP="000B0263"/>
    <w:p w:rsidR="00316B2A" w:rsidRPr="00B42371" w:rsidRDefault="00316B2A" w:rsidP="000B0263"/>
    <w:p w:rsidR="00316B2A" w:rsidRPr="00B42371" w:rsidRDefault="00316B2A" w:rsidP="000B0263"/>
    <w:p w:rsidR="00972544" w:rsidRDefault="00972544" w:rsidP="00C7094E">
      <w:pPr>
        <w:jc w:val="center"/>
        <w:rPr>
          <w:rFonts w:eastAsia="Times New Roman"/>
          <w:color w:val="FF0000"/>
          <w:sz w:val="24"/>
          <w:szCs w:val="20"/>
        </w:rPr>
      </w:pPr>
    </w:p>
    <w:p w:rsidR="00C7094E" w:rsidRPr="00C7094E" w:rsidRDefault="00C7094E" w:rsidP="00C7094E">
      <w:pPr>
        <w:jc w:val="center"/>
        <w:rPr>
          <w:b/>
          <w:sz w:val="24"/>
        </w:rPr>
      </w:pPr>
      <w:r w:rsidRPr="00C7094E">
        <w:rPr>
          <w:b/>
          <w:sz w:val="24"/>
        </w:rPr>
        <w:t>TERMO DE REFERÊNCIA</w:t>
      </w:r>
    </w:p>
    <w:p w:rsidR="00C7094E" w:rsidRPr="000B0263" w:rsidRDefault="00C7094E" w:rsidP="00C7094E">
      <w:pPr>
        <w:jc w:val="center"/>
        <w:rPr>
          <w:rFonts w:eastAsia="Times New Roman"/>
          <w:color w:val="FF0000"/>
          <w:sz w:val="24"/>
          <w:szCs w:val="20"/>
        </w:rPr>
      </w:pPr>
    </w:p>
    <w:p w:rsidR="00071793" w:rsidRDefault="003D6A42" w:rsidP="00C7094E">
      <w:pPr>
        <w:jc w:val="center"/>
        <w:rPr>
          <w:rFonts w:eastAsia="Times New Roman"/>
          <w:sz w:val="24"/>
          <w:szCs w:val="20"/>
        </w:rPr>
      </w:pPr>
      <w:r>
        <w:rPr>
          <w:rFonts w:eastAsia="Times New Roman"/>
          <w:sz w:val="24"/>
          <w:szCs w:val="20"/>
        </w:rPr>
        <w:t xml:space="preserve">SISTEMA DE REGISTRO DE PREÇOS (SRP) </w:t>
      </w:r>
    </w:p>
    <w:p w:rsidR="00C7094E" w:rsidRPr="00A14010" w:rsidRDefault="00C25ADE" w:rsidP="00942D71">
      <w:pPr>
        <w:jc w:val="center"/>
      </w:pPr>
      <w:r>
        <w:rPr>
          <w:rFonts w:eastAsia="Times New Roman"/>
          <w:sz w:val="24"/>
          <w:szCs w:val="20"/>
        </w:rPr>
        <w:t>MAIOR DESCONTO</w:t>
      </w:r>
    </w:p>
    <w:p w:rsidR="00316B2A" w:rsidRPr="00B42371" w:rsidRDefault="00316B2A" w:rsidP="000B0263"/>
    <w:p w:rsidR="00E81829" w:rsidRDefault="00E81829" w:rsidP="000B0263">
      <w:pPr>
        <w:rPr>
          <w:sz w:val="22"/>
        </w:rPr>
      </w:pPr>
    </w:p>
    <w:p w:rsidR="00316B2A" w:rsidRDefault="00316B2A" w:rsidP="000B0263"/>
    <w:p w:rsidR="005D1FDB" w:rsidRDefault="005D1FDB" w:rsidP="000B0263"/>
    <w:p w:rsidR="005D1FDB" w:rsidRDefault="005D1FDB" w:rsidP="000B0263"/>
    <w:p w:rsidR="005D1FDB" w:rsidRDefault="005D1FDB" w:rsidP="000B0263"/>
    <w:p w:rsidR="005D1FDB" w:rsidRDefault="005D1FDB" w:rsidP="000B0263"/>
    <w:p w:rsidR="005D1FDB" w:rsidRPr="00B42371" w:rsidRDefault="005D1FDB" w:rsidP="000B0263"/>
    <w:p w:rsidR="00316B2A" w:rsidRPr="00B42371" w:rsidRDefault="00316B2A" w:rsidP="000B0263"/>
    <w:p w:rsidR="00316B2A" w:rsidRPr="00B42371" w:rsidRDefault="00316B2A" w:rsidP="000B0263"/>
    <w:p w:rsidR="00316B2A" w:rsidRPr="00B42371" w:rsidRDefault="00942D71" w:rsidP="001A6FA0">
      <w:pPr>
        <w:jc w:val="center"/>
      </w:pPr>
      <w:r>
        <w:rPr>
          <w:b/>
          <w:sz w:val="24"/>
        </w:rPr>
        <w:t>EXECUÇÃO DOS SERVIÇOS DE</w:t>
      </w:r>
      <w:r w:rsidR="00843F89">
        <w:rPr>
          <w:b/>
          <w:sz w:val="24"/>
        </w:rPr>
        <w:t xml:space="preserve"> PERFURAÇÃO</w:t>
      </w:r>
      <w:r w:rsidRPr="00782E19">
        <w:rPr>
          <w:b/>
          <w:sz w:val="24"/>
        </w:rPr>
        <w:t xml:space="preserve"> E INSTALAÇÃO DE POÇOS </w:t>
      </w:r>
      <w:r>
        <w:rPr>
          <w:b/>
          <w:sz w:val="24"/>
        </w:rPr>
        <w:t xml:space="preserve">TUBULARES </w:t>
      </w:r>
      <w:r w:rsidRPr="00234E84">
        <w:rPr>
          <w:b/>
          <w:sz w:val="24"/>
        </w:rPr>
        <w:t xml:space="preserve">EM MUNICÍPIOS </w:t>
      </w:r>
      <w:r w:rsidR="00A27DDD">
        <w:rPr>
          <w:b/>
          <w:sz w:val="24"/>
        </w:rPr>
        <w:t xml:space="preserve">LOCALIZADOS </w:t>
      </w:r>
      <w:r w:rsidRPr="00234E84">
        <w:rPr>
          <w:b/>
          <w:sz w:val="24"/>
        </w:rPr>
        <w:t xml:space="preserve">NA ÁREA DE ATUAÇÃO DA </w:t>
      </w:r>
      <w:r>
        <w:rPr>
          <w:b/>
          <w:sz w:val="24"/>
        </w:rPr>
        <w:t>2</w:t>
      </w:r>
      <w:r w:rsidRPr="00234E84">
        <w:rPr>
          <w:b/>
          <w:sz w:val="24"/>
        </w:rPr>
        <w:t xml:space="preserve">ª SUPERINTENDÊNCIA REGIONAL DA CODEVASF, </w:t>
      </w:r>
      <w:r w:rsidR="00A27DDD">
        <w:rPr>
          <w:b/>
          <w:sz w:val="24"/>
        </w:rPr>
        <w:t>EM BOM JESUS DA LAPA,</w:t>
      </w:r>
      <w:r w:rsidRPr="00234E84">
        <w:rPr>
          <w:b/>
          <w:sz w:val="24"/>
        </w:rPr>
        <w:t xml:space="preserve"> ESTADO D</w:t>
      </w:r>
      <w:r>
        <w:rPr>
          <w:b/>
          <w:sz w:val="24"/>
        </w:rPr>
        <w:t>ABAHIA</w:t>
      </w:r>
      <w:r>
        <w:rPr>
          <w:rFonts w:eastAsia="Times New Roman"/>
          <w:b/>
          <w:sz w:val="24"/>
          <w:szCs w:val="20"/>
        </w:rPr>
        <w:t>.</w:t>
      </w:r>
    </w:p>
    <w:p w:rsidR="00316B2A" w:rsidRPr="00B42371" w:rsidRDefault="00316B2A" w:rsidP="000B0263"/>
    <w:p w:rsidR="00316B2A" w:rsidRPr="00B42371" w:rsidRDefault="00316B2A" w:rsidP="000B0263"/>
    <w:p w:rsidR="00316B2A" w:rsidRPr="00B42371" w:rsidRDefault="00316B2A" w:rsidP="000B0263"/>
    <w:p w:rsidR="00316B2A" w:rsidRDefault="00316B2A"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5D1FDB" w:rsidRDefault="005D1FDB" w:rsidP="000B0263">
      <w:pPr>
        <w:rPr>
          <w:rFonts w:eastAsia="Times New Roman"/>
          <w:b/>
          <w:color w:val="FF0000"/>
          <w:sz w:val="24"/>
          <w:szCs w:val="20"/>
        </w:rPr>
      </w:pPr>
    </w:p>
    <w:p w:rsidR="005D1FDB" w:rsidRDefault="005D1FDB" w:rsidP="000B0263">
      <w:pPr>
        <w:rPr>
          <w:rFonts w:eastAsia="Times New Roman"/>
          <w:b/>
          <w:color w:val="FF0000"/>
          <w:sz w:val="24"/>
          <w:szCs w:val="20"/>
        </w:rPr>
      </w:pPr>
    </w:p>
    <w:p w:rsidR="005D1FDB" w:rsidRDefault="005D1FDB" w:rsidP="000B0263">
      <w:pPr>
        <w:rPr>
          <w:rFonts w:eastAsia="Times New Roman"/>
          <w:b/>
          <w:color w:val="FF0000"/>
          <w:sz w:val="24"/>
          <w:szCs w:val="20"/>
        </w:rPr>
      </w:pPr>
    </w:p>
    <w:p w:rsidR="005D1FDB" w:rsidRDefault="005D1FDB"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5D1FDB" w:rsidRDefault="005D1FDB" w:rsidP="000B0263">
      <w:pPr>
        <w:rPr>
          <w:rFonts w:eastAsia="Times New Roman"/>
          <w:b/>
          <w:color w:val="FF0000"/>
          <w:sz w:val="24"/>
          <w:szCs w:val="20"/>
        </w:rPr>
      </w:pPr>
    </w:p>
    <w:p w:rsidR="00972544" w:rsidRDefault="00972544" w:rsidP="000B0263">
      <w:pPr>
        <w:rPr>
          <w:rFonts w:eastAsia="Times New Roman"/>
          <w:b/>
          <w:color w:val="FF0000"/>
          <w:sz w:val="24"/>
          <w:szCs w:val="20"/>
        </w:rPr>
      </w:pPr>
    </w:p>
    <w:p w:rsidR="00316B2A" w:rsidRPr="00B42371" w:rsidRDefault="00316B2A" w:rsidP="000B0263"/>
    <w:p w:rsidR="00316B2A" w:rsidRPr="00B42371" w:rsidRDefault="00316B2A" w:rsidP="000B0263"/>
    <w:p w:rsidR="00316B2A" w:rsidRPr="00B42371" w:rsidRDefault="00316B2A" w:rsidP="000B0263"/>
    <w:p w:rsidR="00316B2A" w:rsidRPr="003E4B80" w:rsidRDefault="00925A4B" w:rsidP="005B087E">
      <w:pPr>
        <w:ind w:left="-1276" w:right="-710"/>
        <w:jc w:val="center"/>
        <w:rPr>
          <w:sz w:val="22"/>
          <w:szCs w:val="22"/>
        </w:rPr>
      </w:pPr>
      <w:r>
        <w:rPr>
          <w:b/>
          <w:sz w:val="22"/>
          <w:szCs w:val="22"/>
        </w:rPr>
        <w:t>SETEMBRO</w:t>
      </w:r>
      <w:r w:rsidR="00BF06C7">
        <w:rPr>
          <w:b/>
          <w:sz w:val="22"/>
          <w:szCs w:val="22"/>
        </w:rPr>
        <w:t>/2021</w:t>
      </w:r>
      <w:r w:rsidR="00316B2A" w:rsidRPr="003E4B80">
        <w:rPr>
          <w:sz w:val="22"/>
          <w:szCs w:val="22"/>
        </w:rPr>
        <w:br w:type="page"/>
      </w:r>
    </w:p>
    <w:p w:rsidR="00580BAD" w:rsidRDefault="00E677B1" w:rsidP="00E677B1">
      <w:pPr>
        <w:tabs>
          <w:tab w:val="left" w:pos="2835"/>
        </w:tabs>
        <w:rPr>
          <w:b/>
          <w:szCs w:val="20"/>
        </w:rPr>
      </w:pPr>
      <w:r>
        <w:rPr>
          <w:b/>
          <w:szCs w:val="20"/>
        </w:rPr>
        <w:lastRenderedPageBreak/>
        <w:tab/>
      </w:r>
    </w:p>
    <w:p w:rsidR="00316B2A" w:rsidRPr="00EB3286" w:rsidRDefault="00316B2A" w:rsidP="00B236F1">
      <w:pPr>
        <w:jc w:val="center"/>
        <w:rPr>
          <w:b/>
          <w:szCs w:val="20"/>
        </w:rPr>
      </w:pPr>
      <w:r w:rsidRPr="00EB3286">
        <w:rPr>
          <w:b/>
          <w:szCs w:val="20"/>
        </w:rPr>
        <w:t>ÍNDICE</w:t>
      </w:r>
    </w:p>
    <w:p w:rsidR="00316B2A" w:rsidRPr="000F656C" w:rsidRDefault="00316B2A" w:rsidP="00387DCB">
      <w:pPr>
        <w:rPr>
          <w:szCs w:val="20"/>
        </w:rPr>
      </w:pPr>
    </w:p>
    <w:p w:rsidR="00720DCE" w:rsidRDefault="00B456DC" w:rsidP="00137A27">
      <w:pPr>
        <w:pStyle w:val="Sumrio1"/>
        <w:rPr>
          <w:rFonts w:asciiTheme="minorHAnsi" w:eastAsiaTheme="minorEastAsia" w:hAnsiTheme="minorHAnsi" w:cstheme="minorBidi"/>
          <w:sz w:val="22"/>
          <w:szCs w:val="22"/>
          <w:lang w:eastAsia="pt-BR"/>
        </w:rPr>
      </w:pPr>
      <w:r w:rsidRPr="000F656C">
        <w:fldChar w:fldCharType="begin"/>
      </w:r>
      <w:r w:rsidR="00B0600A" w:rsidRPr="000F656C">
        <w:instrText xml:space="preserve"> TOC \o "1-1" \h \z \u </w:instrText>
      </w:r>
      <w:r w:rsidRPr="000F656C">
        <w:fldChar w:fldCharType="separate"/>
      </w:r>
      <w:hyperlink w:anchor="_Toc18400269" w:history="1">
        <w:r w:rsidR="00720DCE" w:rsidRPr="00823B9E">
          <w:rPr>
            <w:rStyle w:val="Hyperlink"/>
          </w:rPr>
          <w:t>1.</w:t>
        </w:r>
        <w:r w:rsidR="00720DCE">
          <w:rPr>
            <w:rFonts w:asciiTheme="minorHAnsi" w:eastAsiaTheme="minorEastAsia" w:hAnsiTheme="minorHAnsi" w:cstheme="minorBidi"/>
            <w:sz w:val="22"/>
            <w:szCs w:val="22"/>
            <w:lang w:eastAsia="pt-BR"/>
          </w:rPr>
          <w:tab/>
        </w:r>
        <w:r w:rsidR="00720DCE" w:rsidRPr="00823B9E">
          <w:rPr>
            <w:rStyle w:val="Hyperlink"/>
          </w:rPr>
          <w:t>OBJETO DA CONTRATAÇÃO</w:t>
        </w:r>
        <w:r w:rsidR="00720DCE">
          <w:rPr>
            <w:webHidden/>
          </w:rPr>
          <w:tab/>
        </w:r>
        <w:r>
          <w:rPr>
            <w:webHidden/>
          </w:rPr>
          <w:fldChar w:fldCharType="begin"/>
        </w:r>
        <w:r w:rsidR="00720DCE">
          <w:rPr>
            <w:webHidden/>
          </w:rPr>
          <w:instrText xml:space="preserve"> PAGEREF _Toc18400269 \h </w:instrText>
        </w:r>
        <w:r>
          <w:rPr>
            <w:webHidden/>
          </w:rPr>
        </w:r>
        <w:r>
          <w:rPr>
            <w:webHidden/>
          </w:rPr>
          <w:fldChar w:fldCharType="separate"/>
        </w:r>
        <w:r w:rsidR="004228FA">
          <w:rPr>
            <w:webHidden/>
          </w:rPr>
          <w:t>3</w:t>
        </w:r>
        <w:r>
          <w:rPr>
            <w:webHidden/>
          </w:rPr>
          <w:fldChar w:fldCharType="end"/>
        </w:r>
      </w:hyperlink>
    </w:p>
    <w:p w:rsidR="00720DCE" w:rsidRDefault="00B456DC" w:rsidP="00137A27">
      <w:pPr>
        <w:pStyle w:val="Sumrio1"/>
        <w:rPr>
          <w:rFonts w:asciiTheme="minorHAnsi" w:eastAsiaTheme="minorEastAsia" w:hAnsiTheme="minorHAnsi" w:cstheme="minorBidi"/>
          <w:sz w:val="22"/>
          <w:szCs w:val="22"/>
          <w:lang w:eastAsia="pt-BR"/>
        </w:rPr>
      </w:pPr>
      <w:hyperlink w:anchor="_Toc18400270" w:history="1">
        <w:r w:rsidR="00720DCE" w:rsidRPr="00823B9E">
          <w:rPr>
            <w:rStyle w:val="Hyperlink"/>
          </w:rPr>
          <w:t>2.</w:t>
        </w:r>
        <w:r w:rsidR="00720DCE">
          <w:rPr>
            <w:rFonts w:asciiTheme="minorHAnsi" w:eastAsiaTheme="minorEastAsia" w:hAnsiTheme="minorHAnsi" w:cstheme="minorBidi"/>
            <w:sz w:val="22"/>
            <w:szCs w:val="22"/>
            <w:lang w:eastAsia="pt-BR"/>
          </w:rPr>
          <w:tab/>
        </w:r>
        <w:r w:rsidR="00720DCE" w:rsidRPr="00823B9E">
          <w:rPr>
            <w:rStyle w:val="Hyperlink"/>
          </w:rPr>
          <w:t>TERMINOLOGIAS E DEFINIÇÕES</w:t>
        </w:r>
        <w:r w:rsidR="00720DCE">
          <w:rPr>
            <w:webHidden/>
          </w:rPr>
          <w:tab/>
        </w:r>
        <w:r>
          <w:rPr>
            <w:webHidden/>
          </w:rPr>
          <w:fldChar w:fldCharType="begin"/>
        </w:r>
        <w:r w:rsidR="00720DCE">
          <w:rPr>
            <w:webHidden/>
          </w:rPr>
          <w:instrText xml:space="preserve"> PAGEREF _Toc18400270 \h </w:instrText>
        </w:r>
        <w:r>
          <w:rPr>
            <w:webHidden/>
          </w:rPr>
        </w:r>
        <w:r>
          <w:rPr>
            <w:webHidden/>
          </w:rPr>
          <w:fldChar w:fldCharType="separate"/>
        </w:r>
        <w:r w:rsidR="004228FA">
          <w:rPr>
            <w:webHidden/>
          </w:rPr>
          <w:t>3</w:t>
        </w:r>
        <w:r>
          <w:rPr>
            <w:webHidden/>
          </w:rPr>
          <w:fldChar w:fldCharType="end"/>
        </w:r>
      </w:hyperlink>
    </w:p>
    <w:p w:rsidR="00720DCE" w:rsidRDefault="00B456DC" w:rsidP="00137A27">
      <w:pPr>
        <w:pStyle w:val="Sumrio1"/>
        <w:rPr>
          <w:rFonts w:asciiTheme="minorHAnsi" w:eastAsiaTheme="minorEastAsia" w:hAnsiTheme="minorHAnsi" w:cstheme="minorBidi"/>
          <w:sz w:val="22"/>
          <w:szCs w:val="22"/>
          <w:lang w:eastAsia="pt-BR"/>
        </w:rPr>
      </w:pPr>
      <w:hyperlink w:anchor="_Toc18400271" w:history="1">
        <w:r w:rsidR="00720DCE" w:rsidRPr="00823B9E">
          <w:rPr>
            <w:rStyle w:val="Hyperlink"/>
          </w:rPr>
          <w:t>3.</w:t>
        </w:r>
        <w:r w:rsidR="00720DCE">
          <w:rPr>
            <w:rFonts w:asciiTheme="minorHAnsi" w:eastAsiaTheme="minorEastAsia" w:hAnsiTheme="minorHAnsi" w:cstheme="minorBidi"/>
            <w:sz w:val="22"/>
            <w:szCs w:val="22"/>
            <w:lang w:eastAsia="pt-BR"/>
          </w:rPr>
          <w:tab/>
        </w:r>
        <w:r w:rsidR="00720DCE" w:rsidRPr="00823B9E">
          <w:rPr>
            <w:rStyle w:val="Hyperlink"/>
          </w:rPr>
          <w:t>REGIME DE EXECUÇÃO, VALOR ESTIMADO E CRITÉRIO DE JULGAMENTO.</w:t>
        </w:r>
        <w:r w:rsidR="00720DCE">
          <w:rPr>
            <w:webHidden/>
          </w:rPr>
          <w:tab/>
        </w:r>
        <w:r>
          <w:rPr>
            <w:webHidden/>
          </w:rPr>
          <w:fldChar w:fldCharType="begin"/>
        </w:r>
        <w:r w:rsidR="00720DCE">
          <w:rPr>
            <w:webHidden/>
          </w:rPr>
          <w:instrText xml:space="preserve"> PAGEREF _Toc18400271 \h </w:instrText>
        </w:r>
        <w:r>
          <w:rPr>
            <w:webHidden/>
          </w:rPr>
        </w:r>
        <w:r>
          <w:rPr>
            <w:webHidden/>
          </w:rPr>
          <w:fldChar w:fldCharType="separate"/>
        </w:r>
        <w:r w:rsidR="004228FA">
          <w:rPr>
            <w:webHidden/>
          </w:rPr>
          <w:t>5</w:t>
        </w:r>
        <w:r>
          <w:rPr>
            <w:webHidden/>
          </w:rPr>
          <w:fldChar w:fldCharType="end"/>
        </w:r>
      </w:hyperlink>
    </w:p>
    <w:p w:rsidR="00720DCE" w:rsidRDefault="00B456DC" w:rsidP="00137A27">
      <w:pPr>
        <w:pStyle w:val="Sumrio1"/>
        <w:rPr>
          <w:rFonts w:asciiTheme="minorHAnsi" w:eastAsiaTheme="minorEastAsia" w:hAnsiTheme="minorHAnsi" w:cstheme="minorBidi"/>
          <w:sz w:val="22"/>
          <w:szCs w:val="22"/>
          <w:lang w:eastAsia="pt-BR"/>
        </w:rPr>
      </w:pPr>
      <w:hyperlink w:anchor="_Toc18400272" w:history="1">
        <w:r w:rsidR="00720DCE" w:rsidRPr="00823B9E">
          <w:rPr>
            <w:rStyle w:val="Hyperlink"/>
          </w:rPr>
          <w:t>4</w:t>
        </w:r>
        <w:r w:rsidR="00720DCE">
          <w:rPr>
            <w:rFonts w:asciiTheme="minorHAnsi" w:eastAsiaTheme="minorEastAsia" w:hAnsiTheme="minorHAnsi" w:cstheme="minorBidi"/>
            <w:sz w:val="22"/>
            <w:szCs w:val="22"/>
            <w:lang w:eastAsia="pt-BR"/>
          </w:rPr>
          <w:tab/>
        </w:r>
        <w:r w:rsidR="00720DCE" w:rsidRPr="00823B9E">
          <w:rPr>
            <w:rStyle w:val="Hyperlink"/>
          </w:rPr>
          <w:t>LOCALIZAÇÃO DO OBJETO</w:t>
        </w:r>
        <w:r w:rsidR="00720DCE">
          <w:rPr>
            <w:webHidden/>
          </w:rPr>
          <w:tab/>
        </w:r>
        <w:r>
          <w:rPr>
            <w:webHidden/>
          </w:rPr>
          <w:fldChar w:fldCharType="begin"/>
        </w:r>
        <w:r w:rsidR="00720DCE">
          <w:rPr>
            <w:webHidden/>
          </w:rPr>
          <w:instrText xml:space="preserve"> PAGEREF _Toc18400272 \h </w:instrText>
        </w:r>
        <w:r>
          <w:rPr>
            <w:webHidden/>
          </w:rPr>
        </w:r>
        <w:r>
          <w:rPr>
            <w:webHidden/>
          </w:rPr>
          <w:fldChar w:fldCharType="separate"/>
        </w:r>
        <w:r w:rsidR="004228FA">
          <w:rPr>
            <w:webHidden/>
          </w:rPr>
          <w:t>5</w:t>
        </w:r>
        <w:r>
          <w:rPr>
            <w:webHidden/>
          </w:rPr>
          <w:fldChar w:fldCharType="end"/>
        </w:r>
      </w:hyperlink>
    </w:p>
    <w:p w:rsidR="00720DCE" w:rsidRDefault="00B456DC" w:rsidP="00137A27">
      <w:pPr>
        <w:pStyle w:val="Sumrio1"/>
        <w:rPr>
          <w:rFonts w:asciiTheme="minorHAnsi" w:eastAsiaTheme="minorEastAsia" w:hAnsiTheme="minorHAnsi" w:cstheme="minorBidi"/>
          <w:sz w:val="22"/>
          <w:szCs w:val="22"/>
          <w:lang w:eastAsia="pt-BR"/>
        </w:rPr>
      </w:pPr>
      <w:hyperlink w:anchor="_Toc18400273" w:history="1">
        <w:r w:rsidR="00720DCE" w:rsidRPr="00823B9E">
          <w:rPr>
            <w:rStyle w:val="Hyperlink"/>
          </w:rPr>
          <w:t>5</w:t>
        </w:r>
        <w:r w:rsidR="00720DCE">
          <w:rPr>
            <w:rFonts w:asciiTheme="minorHAnsi" w:eastAsiaTheme="minorEastAsia" w:hAnsiTheme="minorHAnsi" w:cstheme="minorBidi"/>
            <w:sz w:val="22"/>
            <w:szCs w:val="22"/>
            <w:lang w:eastAsia="pt-BR"/>
          </w:rPr>
          <w:tab/>
        </w:r>
        <w:r w:rsidR="00720DCE" w:rsidRPr="00823B9E">
          <w:rPr>
            <w:rStyle w:val="Hyperlink"/>
          </w:rPr>
          <w:t>DESCRIÇÃO DOS SERVIÇOS</w:t>
        </w:r>
        <w:r w:rsidR="00720DCE">
          <w:rPr>
            <w:webHidden/>
          </w:rPr>
          <w:tab/>
        </w:r>
        <w:r>
          <w:rPr>
            <w:webHidden/>
          </w:rPr>
          <w:fldChar w:fldCharType="begin"/>
        </w:r>
        <w:r w:rsidR="00720DCE">
          <w:rPr>
            <w:webHidden/>
          </w:rPr>
          <w:instrText xml:space="preserve"> PAGEREF _Toc18400273 \h </w:instrText>
        </w:r>
        <w:r>
          <w:rPr>
            <w:webHidden/>
          </w:rPr>
        </w:r>
        <w:r>
          <w:rPr>
            <w:webHidden/>
          </w:rPr>
          <w:fldChar w:fldCharType="separate"/>
        </w:r>
        <w:r w:rsidR="004228FA">
          <w:rPr>
            <w:webHidden/>
          </w:rPr>
          <w:t>6</w:t>
        </w:r>
        <w:r>
          <w:rPr>
            <w:webHidden/>
          </w:rPr>
          <w:fldChar w:fldCharType="end"/>
        </w:r>
      </w:hyperlink>
    </w:p>
    <w:p w:rsidR="00720DCE" w:rsidRDefault="00B456DC" w:rsidP="00137A27">
      <w:pPr>
        <w:pStyle w:val="Sumrio1"/>
        <w:rPr>
          <w:rFonts w:asciiTheme="minorHAnsi" w:eastAsiaTheme="minorEastAsia" w:hAnsiTheme="minorHAnsi" w:cstheme="minorBidi"/>
          <w:sz w:val="22"/>
          <w:szCs w:val="22"/>
          <w:lang w:eastAsia="pt-BR"/>
        </w:rPr>
      </w:pPr>
      <w:hyperlink w:anchor="_Toc18400274" w:history="1">
        <w:r w:rsidR="00720DCE" w:rsidRPr="00823B9E">
          <w:rPr>
            <w:rStyle w:val="Hyperlink"/>
          </w:rPr>
          <w:t>6</w:t>
        </w:r>
        <w:r w:rsidR="00720DCE">
          <w:rPr>
            <w:rFonts w:asciiTheme="minorHAnsi" w:eastAsiaTheme="minorEastAsia" w:hAnsiTheme="minorHAnsi" w:cstheme="minorBidi"/>
            <w:sz w:val="22"/>
            <w:szCs w:val="22"/>
            <w:lang w:eastAsia="pt-BR"/>
          </w:rPr>
          <w:tab/>
        </w:r>
        <w:r w:rsidR="00720DCE" w:rsidRPr="00823B9E">
          <w:rPr>
            <w:rStyle w:val="Hyperlink"/>
          </w:rPr>
          <w:t>CONDIÇÕES DE PARTICIPAÇÃO</w:t>
        </w:r>
        <w:r w:rsidR="00720DCE">
          <w:rPr>
            <w:webHidden/>
          </w:rPr>
          <w:tab/>
        </w:r>
        <w:r>
          <w:rPr>
            <w:webHidden/>
          </w:rPr>
          <w:fldChar w:fldCharType="begin"/>
        </w:r>
        <w:r w:rsidR="00720DCE">
          <w:rPr>
            <w:webHidden/>
          </w:rPr>
          <w:instrText xml:space="preserve"> PAGEREF _Toc18400274 \h </w:instrText>
        </w:r>
        <w:r>
          <w:rPr>
            <w:webHidden/>
          </w:rPr>
        </w:r>
        <w:r>
          <w:rPr>
            <w:webHidden/>
          </w:rPr>
          <w:fldChar w:fldCharType="separate"/>
        </w:r>
        <w:r w:rsidR="004228FA">
          <w:rPr>
            <w:webHidden/>
          </w:rPr>
          <w:t>7</w:t>
        </w:r>
        <w:r>
          <w:rPr>
            <w:webHidden/>
          </w:rPr>
          <w:fldChar w:fldCharType="end"/>
        </w:r>
      </w:hyperlink>
    </w:p>
    <w:p w:rsidR="00720DCE" w:rsidRDefault="00B456DC" w:rsidP="00137A27">
      <w:pPr>
        <w:pStyle w:val="Sumrio1"/>
        <w:rPr>
          <w:rFonts w:asciiTheme="minorHAnsi" w:eastAsiaTheme="minorEastAsia" w:hAnsiTheme="minorHAnsi" w:cstheme="minorBidi"/>
          <w:sz w:val="22"/>
          <w:szCs w:val="22"/>
          <w:lang w:eastAsia="pt-BR"/>
        </w:rPr>
      </w:pPr>
      <w:hyperlink w:anchor="_Toc18400275" w:history="1">
        <w:r w:rsidR="00720DCE" w:rsidRPr="00823B9E">
          <w:rPr>
            <w:rStyle w:val="Hyperlink"/>
          </w:rPr>
          <w:t>7</w:t>
        </w:r>
        <w:r w:rsidR="00720DCE">
          <w:rPr>
            <w:rFonts w:asciiTheme="minorHAnsi" w:eastAsiaTheme="minorEastAsia" w:hAnsiTheme="minorHAnsi" w:cstheme="minorBidi"/>
            <w:sz w:val="22"/>
            <w:szCs w:val="22"/>
            <w:lang w:eastAsia="pt-BR"/>
          </w:rPr>
          <w:tab/>
        </w:r>
        <w:r w:rsidR="00720DCE" w:rsidRPr="00823B9E">
          <w:rPr>
            <w:rStyle w:val="Hyperlink"/>
          </w:rPr>
          <w:t>PROPOSTA</w:t>
        </w:r>
        <w:r w:rsidR="00720DCE">
          <w:rPr>
            <w:webHidden/>
          </w:rPr>
          <w:tab/>
        </w:r>
        <w:r>
          <w:rPr>
            <w:webHidden/>
          </w:rPr>
          <w:fldChar w:fldCharType="begin"/>
        </w:r>
        <w:r w:rsidR="00720DCE">
          <w:rPr>
            <w:webHidden/>
          </w:rPr>
          <w:instrText xml:space="preserve"> PAGEREF _Toc18400275 \h </w:instrText>
        </w:r>
        <w:r>
          <w:rPr>
            <w:webHidden/>
          </w:rPr>
        </w:r>
        <w:r>
          <w:rPr>
            <w:webHidden/>
          </w:rPr>
          <w:fldChar w:fldCharType="separate"/>
        </w:r>
        <w:r w:rsidR="004228FA">
          <w:rPr>
            <w:webHidden/>
          </w:rPr>
          <w:t>8</w:t>
        </w:r>
        <w:r>
          <w:rPr>
            <w:webHidden/>
          </w:rPr>
          <w:fldChar w:fldCharType="end"/>
        </w:r>
      </w:hyperlink>
    </w:p>
    <w:p w:rsidR="00720DCE" w:rsidRDefault="00B456DC" w:rsidP="00137A27">
      <w:pPr>
        <w:pStyle w:val="Sumrio1"/>
        <w:rPr>
          <w:rFonts w:asciiTheme="minorHAnsi" w:eastAsiaTheme="minorEastAsia" w:hAnsiTheme="minorHAnsi" w:cstheme="minorBidi"/>
          <w:sz w:val="22"/>
          <w:szCs w:val="22"/>
          <w:lang w:eastAsia="pt-BR"/>
        </w:rPr>
      </w:pPr>
      <w:hyperlink w:anchor="_Toc18400276" w:history="1">
        <w:r w:rsidR="00720DCE" w:rsidRPr="00823B9E">
          <w:rPr>
            <w:rStyle w:val="Hyperlink"/>
          </w:rPr>
          <w:t>8</w:t>
        </w:r>
        <w:r w:rsidR="00720DCE">
          <w:rPr>
            <w:rFonts w:asciiTheme="minorHAnsi" w:eastAsiaTheme="minorEastAsia" w:hAnsiTheme="minorHAnsi" w:cstheme="minorBidi"/>
            <w:sz w:val="22"/>
            <w:szCs w:val="22"/>
            <w:lang w:eastAsia="pt-BR"/>
          </w:rPr>
          <w:tab/>
        </w:r>
        <w:r w:rsidR="00720DCE" w:rsidRPr="00823B9E">
          <w:rPr>
            <w:rStyle w:val="Hyperlink"/>
          </w:rPr>
          <w:t>DOCUMENTAÇÃO DE HABILITAÇÃO</w:t>
        </w:r>
        <w:r w:rsidR="00720DCE">
          <w:rPr>
            <w:webHidden/>
          </w:rPr>
          <w:tab/>
        </w:r>
        <w:r>
          <w:rPr>
            <w:webHidden/>
          </w:rPr>
          <w:fldChar w:fldCharType="begin"/>
        </w:r>
        <w:r w:rsidR="00720DCE">
          <w:rPr>
            <w:webHidden/>
          </w:rPr>
          <w:instrText xml:space="preserve"> PAGEREF _Toc18400276 \h </w:instrText>
        </w:r>
        <w:r>
          <w:rPr>
            <w:webHidden/>
          </w:rPr>
        </w:r>
        <w:r>
          <w:rPr>
            <w:webHidden/>
          </w:rPr>
          <w:fldChar w:fldCharType="separate"/>
        </w:r>
        <w:r w:rsidR="004228FA">
          <w:rPr>
            <w:webHidden/>
          </w:rPr>
          <w:t>10</w:t>
        </w:r>
        <w:r>
          <w:rPr>
            <w:webHidden/>
          </w:rPr>
          <w:fldChar w:fldCharType="end"/>
        </w:r>
      </w:hyperlink>
    </w:p>
    <w:p w:rsidR="00720DCE" w:rsidRDefault="00B456DC" w:rsidP="00137A27">
      <w:pPr>
        <w:pStyle w:val="Sumrio1"/>
        <w:rPr>
          <w:rFonts w:asciiTheme="minorHAnsi" w:eastAsiaTheme="minorEastAsia" w:hAnsiTheme="minorHAnsi" w:cstheme="minorBidi"/>
          <w:sz w:val="22"/>
          <w:szCs w:val="22"/>
          <w:lang w:eastAsia="pt-BR"/>
        </w:rPr>
      </w:pPr>
      <w:hyperlink w:anchor="_Toc18400277" w:history="1">
        <w:r w:rsidR="00720DCE" w:rsidRPr="00823B9E">
          <w:rPr>
            <w:rStyle w:val="Hyperlink"/>
          </w:rPr>
          <w:t>9</w:t>
        </w:r>
        <w:r w:rsidR="00720DCE">
          <w:rPr>
            <w:rFonts w:asciiTheme="minorHAnsi" w:eastAsiaTheme="minorEastAsia" w:hAnsiTheme="minorHAnsi" w:cstheme="minorBidi"/>
            <w:sz w:val="22"/>
            <w:szCs w:val="22"/>
            <w:lang w:eastAsia="pt-BR"/>
          </w:rPr>
          <w:tab/>
        </w:r>
        <w:r w:rsidR="00720DCE" w:rsidRPr="00823B9E">
          <w:rPr>
            <w:rStyle w:val="Hyperlink"/>
          </w:rPr>
          <w:t>REFERÊNCIA DE PREÇOS E DOTAÇÃO ORÇAMENTÁRIA</w:t>
        </w:r>
        <w:r w:rsidR="00720DCE">
          <w:rPr>
            <w:webHidden/>
          </w:rPr>
          <w:tab/>
        </w:r>
        <w:r>
          <w:rPr>
            <w:webHidden/>
          </w:rPr>
          <w:fldChar w:fldCharType="begin"/>
        </w:r>
        <w:r w:rsidR="00720DCE">
          <w:rPr>
            <w:webHidden/>
          </w:rPr>
          <w:instrText xml:space="preserve"> PAGEREF _Toc18400277 \h </w:instrText>
        </w:r>
        <w:r>
          <w:rPr>
            <w:webHidden/>
          </w:rPr>
        </w:r>
        <w:r>
          <w:rPr>
            <w:webHidden/>
          </w:rPr>
          <w:fldChar w:fldCharType="separate"/>
        </w:r>
        <w:r w:rsidR="004228FA">
          <w:rPr>
            <w:webHidden/>
          </w:rPr>
          <w:t>11</w:t>
        </w:r>
        <w:r>
          <w:rPr>
            <w:webHidden/>
          </w:rPr>
          <w:fldChar w:fldCharType="end"/>
        </w:r>
      </w:hyperlink>
    </w:p>
    <w:p w:rsidR="00FE20C8" w:rsidRDefault="00B456DC" w:rsidP="00137A27">
      <w:pPr>
        <w:pStyle w:val="Sumrio1"/>
      </w:pPr>
      <w:hyperlink w:anchor="_Toc18400278" w:history="1">
        <w:r w:rsidR="00720DCE" w:rsidRPr="00823B9E">
          <w:rPr>
            <w:rStyle w:val="Hyperlink"/>
          </w:rPr>
          <w:t>10</w:t>
        </w:r>
        <w:r w:rsidR="00720DCE">
          <w:rPr>
            <w:rFonts w:asciiTheme="minorHAnsi" w:eastAsiaTheme="minorEastAsia" w:hAnsiTheme="minorHAnsi" w:cstheme="minorBidi"/>
            <w:sz w:val="22"/>
            <w:szCs w:val="22"/>
            <w:lang w:eastAsia="pt-BR"/>
          </w:rPr>
          <w:tab/>
        </w:r>
        <w:r w:rsidR="00720DCE" w:rsidRPr="00823B9E">
          <w:rPr>
            <w:rStyle w:val="Hyperlink"/>
          </w:rPr>
          <w:t>PRAZOS DE EXECUÇÃO E VIGÊNCIA</w:t>
        </w:r>
        <w:r w:rsidR="00720DCE">
          <w:rPr>
            <w:webHidden/>
          </w:rPr>
          <w:tab/>
        </w:r>
        <w:r>
          <w:rPr>
            <w:webHidden/>
          </w:rPr>
          <w:fldChar w:fldCharType="begin"/>
        </w:r>
        <w:r w:rsidR="00720DCE">
          <w:rPr>
            <w:webHidden/>
          </w:rPr>
          <w:instrText xml:space="preserve"> PAGEREF _Toc18400278 \h </w:instrText>
        </w:r>
        <w:r>
          <w:rPr>
            <w:webHidden/>
          </w:rPr>
        </w:r>
        <w:r>
          <w:rPr>
            <w:webHidden/>
          </w:rPr>
          <w:fldChar w:fldCharType="separate"/>
        </w:r>
        <w:r w:rsidR="004228FA">
          <w:rPr>
            <w:webHidden/>
          </w:rPr>
          <w:t>12</w:t>
        </w:r>
        <w:r>
          <w:rPr>
            <w:webHidden/>
          </w:rPr>
          <w:fldChar w:fldCharType="end"/>
        </w:r>
      </w:hyperlink>
    </w:p>
    <w:p w:rsidR="00137A27" w:rsidRPr="00137A27" w:rsidRDefault="00137A27" w:rsidP="00137A27">
      <w:pPr>
        <w:pStyle w:val="Sumrio1"/>
        <w:rPr>
          <w:rStyle w:val="Hyperlink"/>
          <w:color w:val="auto"/>
          <w:u w:val="none"/>
        </w:rPr>
      </w:pPr>
      <w:r w:rsidRPr="00137A27">
        <w:rPr>
          <w:rStyle w:val="Hyperlink"/>
          <w:color w:val="auto"/>
          <w:u w:val="none"/>
        </w:rPr>
        <w:t>11</w:t>
      </w:r>
      <w:r w:rsidRPr="00137A27">
        <w:rPr>
          <w:rStyle w:val="Hyperlink"/>
          <w:color w:val="auto"/>
          <w:u w:val="none"/>
        </w:rPr>
        <w:tab/>
        <w:t>MATRIZ DE RISCO</w:t>
      </w:r>
      <w:r>
        <w:rPr>
          <w:rStyle w:val="Hyperlink"/>
          <w:color w:val="auto"/>
          <w:u w:val="none"/>
        </w:rPr>
        <w:t>...................................................................................................................13</w:t>
      </w:r>
    </w:p>
    <w:p w:rsidR="00720DCE" w:rsidRDefault="00B456DC" w:rsidP="00137A27">
      <w:pPr>
        <w:pStyle w:val="Sumrio1"/>
        <w:rPr>
          <w:rFonts w:asciiTheme="minorHAnsi" w:eastAsiaTheme="minorEastAsia" w:hAnsiTheme="minorHAnsi" w:cstheme="minorBidi"/>
          <w:sz w:val="22"/>
          <w:szCs w:val="22"/>
          <w:lang w:eastAsia="pt-BR"/>
        </w:rPr>
      </w:pPr>
      <w:hyperlink w:anchor="_Toc18400279" w:history="1">
        <w:r w:rsidR="00720DCE" w:rsidRPr="00823B9E">
          <w:rPr>
            <w:rStyle w:val="Hyperlink"/>
          </w:rPr>
          <w:t>1</w:t>
        </w:r>
        <w:r w:rsidR="00137A27">
          <w:rPr>
            <w:rStyle w:val="Hyperlink"/>
          </w:rPr>
          <w:t>2</w:t>
        </w:r>
        <w:r w:rsidR="00720DCE">
          <w:rPr>
            <w:rFonts w:asciiTheme="minorHAnsi" w:eastAsiaTheme="minorEastAsia" w:hAnsiTheme="minorHAnsi" w:cstheme="minorBidi"/>
            <w:sz w:val="22"/>
            <w:szCs w:val="22"/>
            <w:lang w:eastAsia="pt-BR"/>
          </w:rPr>
          <w:tab/>
        </w:r>
        <w:r w:rsidR="00FE20C8">
          <w:rPr>
            <w:rStyle w:val="Hyperlink"/>
          </w:rPr>
          <w:t>FORMAS E CONDIÇÕ</w:t>
        </w:r>
        <w:r w:rsidR="00720DCE" w:rsidRPr="00823B9E">
          <w:rPr>
            <w:rStyle w:val="Hyperlink"/>
          </w:rPr>
          <w:t>ES DE PAGAMENTO</w:t>
        </w:r>
        <w:r w:rsidR="00720DCE">
          <w:rPr>
            <w:webHidden/>
          </w:rPr>
          <w:tab/>
        </w:r>
        <w:r>
          <w:rPr>
            <w:webHidden/>
          </w:rPr>
          <w:fldChar w:fldCharType="begin"/>
        </w:r>
        <w:r w:rsidR="00720DCE">
          <w:rPr>
            <w:webHidden/>
          </w:rPr>
          <w:instrText xml:space="preserve"> PAGEREF _Toc18400279 \h </w:instrText>
        </w:r>
        <w:r>
          <w:rPr>
            <w:webHidden/>
          </w:rPr>
        </w:r>
        <w:r>
          <w:rPr>
            <w:webHidden/>
          </w:rPr>
          <w:fldChar w:fldCharType="separate"/>
        </w:r>
        <w:r w:rsidR="004228FA">
          <w:rPr>
            <w:webHidden/>
          </w:rPr>
          <w:t>13</w:t>
        </w:r>
        <w:r>
          <w:rPr>
            <w:webHidden/>
          </w:rPr>
          <w:fldChar w:fldCharType="end"/>
        </w:r>
      </w:hyperlink>
    </w:p>
    <w:p w:rsidR="00720DCE" w:rsidRDefault="00B456DC" w:rsidP="00137A27">
      <w:pPr>
        <w:pStyle w:val="Sumrio1"/>
        <w:rPr>
          <w:rFonts w:asciiTheme="minorHAnsi" w:eastAsiaTheme="minorEastAsia" w:hAnsiTheme="minorHAnsi" w:cstheme="minorBidi"/>
          <w:sz w:val="22"/>
          <w:szCs w:val="22"/>
          <w:lang w:eastAsia="pt-BR"/>
        </w:rPr>
      </w:pPr>
      <w:hyperlink w:anchor="_Toc18400280" w:history="1">
        <w:r w:rsidR="00720DCE" w:rsidRPr="00823B9E">
          <w:rPr>
            <w:rStyle w:val="Hyperlink"/>
          </w:rPr>
          <w:t>1</w:t>
        </w:r>
        <w:r w:rsidR="00137A27">
          <w:rPr>
            <w:rStyle w:val="Hyperlink"/>
          </w:rPr>
          <w:t>3</w:t>
        </w:r>
        <w:r w:rsidR="00720DCE">
          <w:rPr>
            <w:rFonts w:asciiTheme="minorHAnsi" w:eastAsiaTheme="minorEastAsia" w:hAnsiTheme="minorHAnsi" w:cstheme="minorBidi"/>
            <w:sz w:val="22"/>
            <w:szCs w:val="22"/>
            <w:lang w:eastAsia="pt-BR"/>
          </w:rPr>
          <w:tab/>
        </w:r>
        <w:r w:rsidR="00720DCE" w:rsidRPr="00823B9E">
          <w:rPr>
            <w:rStyle w:val="Hyperlink"/>
          </w:rPr>
          <w:t>REAJUSTAMENTO</w:t>
        </w:r>
        <w:r w:rsidR="00720DCE">
          <w:rPr>
            <w:webHidden/>
          </w:rPr>
          <w:tab/>
        </w:r>
        <w:r>
          <w:rPr>
            <w:webHidden/>
          </w:rPr>
          <w:fldChar w:fldCharType="begin"/>
        </w:r>
        <w:r w:rsidR="00720DCE">
          <w:rPr>
            <w:webHidden/>
          </w:rPr>
          <w:instrText xml:space="preserve"> PAGEREF _Toc18400280 \h </w:instrText>
        </w:r>
        <w:r>
          <w:rPr>
            <w:webHidden/>
          </w:rPr>
        </w:r>
        <w:r>
          <w:rPr>
            <w:webHidden/>
          </w:rPr>
          <w:fldChar w:fldCharType="separate"/>
        </w:r>
        <w:r w:rsidR="004228FA">
          <w:rPr>
            <w:webHidden/>
          </w:rPr>
          <w:t>14</w:t>
        </w:r>
        <w:r>
          <w:rPr>
            <w:webHidden/>
          </w:rPr>
          <w:fldChar w:fldCharType="end"/>
        </w:r>
      </w:hyperlink>
    </w:p>
    <w:p w:rsidR="00720DCE" w:rsidRDefault="00B456DC" w:rsidP="00137A27">
      <w:pPr>
        <w:pStyle w:val="Sumrio1"/>
        <w:rPr>
          <w:rFonts w:asciiTheme="minorHAnsi" w:eastAsiaTheme="minorEastAsia" w:hAnsiTheme="minorHAnsi" w:cstheme="minorBidi"/>
          <w:sz w:val="22"/>
          <w:szCs w:val="22"/>
          <w:lang w:eastAsia="pt-BR"/>
        </w:rPr>
      </w:pPr>
      <w:hyperlink w:anchor="_Toc18400281" w:history="1">
        <w:r w:rsidR="00720DCE" w:rsidRPr="00823B9E">
          <w:rPr>
            <w:rStyle w:val="Hyperlink"/>
          </w:rPr>
          <w:t>1</w:t>
        </w:r>
        <w:r w:rsidR="00137A27">
          <w:rPr>
            <w:rStyle w:val="Hyperlink"/>
          </w:rPr>
          <w:t>4</w:t>
        </w:r>
        <w:r w:rsidR="00720DCE">
          <w:rPr>
            <w:rFonts w:asciiTheme="minorHAnsi" w:eastAsiaTheme="minorEastAsia" w:hAnsiTheme="minorHAnsi" w:cstheme="minorBidi"/>
            <w:sz w:val="22"/>
            <w:szCs w:val="22"/>
            <w:lang w:eastAsia="pt-BR"/>
          </w:rPr>
          <w:tab/>
        </w:r>
        <w:r w:rsidR="00D12A50" w:rsidRPr="007F240D">
          <w:rPr>
            <w:rStyle w:val="Hyperlink"/>
          </w:rPr>
          <w:t xml:space="preserve">ACOMPANHAMENTO E </w:t>
        </w:r>
        <w:r w:rsidR="00720DCE" w:rsidRPr="00823B9E">
          <w:rPr>
            <w:rStyle w:val="Hyperlink"/>
          </w:rPr>
          <w:t>FISCALIZAÇÃO</w:t>
        </w:r>
        <w:r w:rsidR="00720DCE">
          <w:rPr>
            <w:webHidden/>
          </w:rPr>
          <w:tab/>
        </w:r>
        <w:r>
          <w:rPr>
            <w:webHidden/>
          </w:rPr>
          <w:fldChar w:fldCharType="begin"/>
        </w:r>
        <w:r w:rsidR="00720DCE">
          <w:rPr>
            <w:webHidden/>
          </w:rPr>
          <w:instrText xml:space="preserve"> PAGEREF _Toc18400281 \h </w:instrText>
        </w:r>
        <w:r>
          <w:rPr>
            <w:webHidden/>
          </w:rPr>
        </w:r>
        <w:r>
          <w:rPr>
            <w:webHidden/>
          </w:rPr>
          <w:fldChar w:fldCharType="separate"/>
        </w:r>
        <w:r w:rsidR="004228FA">
          <w:rPr>
            <w:webHidden/>
          </w:rPr>
          <w:t>15</w:t>
        </w:r>
        <w:r>
          <w:rPr>
            <w:webHidden/>
          </w:rPr>
          <w:fldChar w:fldCharType="end"/>
        </w:r>
      </w:hyperlink>
    </w:p>
    <w:p w:rsidR="00720DCE" w:rsidRDefault="00B456DC" w:rsidP="00137A27">
      <w:pPr>
        <w:pStyle w:val="Sumrio1"/>
        <w:rPr>
          <w:rFonts w:asciiTheme="minorHAnsi" w:eastAsiaTheme="minorEastAsia" w:hAnsiTheme="minorHAnsi" w:cstheme="minorBidi"/>
          <w:sz w:val="22"/>
          <w:szCs w:val="22"/>
          <w:lang w:eastAsia="pt-BR"/>
        </w:rPr>
      </w:pPr>
      <w:hyperlink w:anchor="_Toc18400282" w:history="1">
        <w:r w:rsidR="00720DCE" w:rsidRPr="00823B9E">
          <w:rPr>
            <w:rStyle w:val="Hyperlink"/>
          </w:rPr>
          <w:t>1</w:t>
        </w:r>
        <w:r w:rsidR="00137A27">
          <w:rPr>
            <w:rStyle w:val="Hyperlink"/>
          </w:rPr>
          <w:t>5</w:t>
        </w:r>
        <w:r w:rsidR="00720DCE">
          <w:rPr>
            <w:rFonts w:asciiTheme="minorHAnsi" w:eastAsiaTheme="minorEastAsia" w:hAnsiTheme="minorHAnsi" w:cstheme="minorBidi"/>
            <w:sz w:val="22"/>
            <w:szCs w:val="22"/>
            <w:lang w:eastAsia="pt-BR"/>
          </w:rPr>
          <w:tab/>
        </w:r>
        <w:r w:rsidR="00720DCE" w:rsidRPr="00823B9E">
          <w:rPr>
            <w:rStyle w:val="Hyperlink"/>
          </w:rPr>
          <w:t>RECEBIMENTO DEFINITIVO DOS SERVIÇOS</w:t>
        </w:r>
        <w:r w:rsidR="00720DCE">
          <w:rPr>
            <w:webHidden/>
          </w:rPr>
          <w:tab/>
        </w:r>
        <w:r>
          <w:rPr>
            <w:webHidden/>
          </w:rPr>
          <w:fldChar w:fldCharType="begin"/>
        </w:r>
        <w:r w:rsidR="00720DCE">
          <w:rPr>
            <w:webHidden/>
          </w:rPr>
          <w:instrText xml:space="preserve"> PAGEREF _Toc18400282 \h </w:instrText>
        </w:r>
        <w:r>
          <w:rPr>
            <w:webHidden/>
          </w:rPr>
        </w:r>
        <w:r>
          <w:rPr>
            <w:webHidden/>
          </w:rPr>
          <w:fldChar w:fldCharType="separate"/>
        </w:r>
        <w:r w:rsidR="004228FA">
          <w:rPr>
            <w:webHidden/>
          </w:rPr>
          <w:t>17</w:t>
        </w:r>
        <w:r>
          <w:rPr>
            <w:webHidden/>
          </w:rPr>
          <w:fldChar w:fldCharType="end"/>
        </w:r>
      </w:hyperlink>
    </w:p>
    <w:p w:rsidR="00720DCE" w:rsidRDefault="00B456DC" w:rsidP="00137A27">
      <w:pPr>
        <w:pStyle w:val="Sumrio1"/>
        <w:rPr>
          <w:rFonts w:asciiTheme="minorHAnsi" w:eastAsiaTheme="minorEastAsia" w:hAnsiTheme="minorHAnsi" w:cstheme="minorBidi"/>
          <w:sz w:val="22"/>
          <w:szCs w:val="22"/>
          <w:lang w:eastAsia="pt-BR"/>
        </w:rPr>
      </w:pPr>
      <w:hyperlink w:anchor="_Toc18400283" w:history="1">
        <w:r w:rsidR="00720DCE" w:rsidRPr="00823B9E">
          <w:rPr>
            <w:rStyle w:val="Hyperlink"/>
          </w:rPr>
          <w:t>1</w:t>
        </w:r>
        <w:r w:rsidR="00137A27">
          <w:rPr>
            <w:rStyle w:val="Hyperlink"/>
          </w:rPr>
          <w:t>6</w:t>
        </w:r>
        <w:r w:rsidR="00720DCE">
          <w:rPr>
            <w:rFonts w:asciiTheme="minorHAnsi" w:eastAsiaTheme="minorEastAsia" w:hAnsiTheme="minorHAnsi" w:cstheme="minorBidi"/>
            <w:sz w:val="22"/>
            <w:szCs w:val="22"/>
            <w:lang w:eastAsia="pt-BR"/>
          </w:rPr>
          <w:tab/>
        </w:r>
        <w:r w:rsidR="00720DCE" w:rsidRPr="00823B9E">
          <w:rPr>
            <w:rStyle w:val="Hyperlink"/>
          </w:rPr>
          <w:t>SEGURANÇA E MEDICINA DO TRABALHO</w:t>
        </w:r>
        <w:r w:rsidR="00720DCE">
          <w:rPr>
            <w:webHidden/>
          </w:rPr>
          <w:tab/>
        </w:r>
        <w:r>
          <w:rPr>
            <w:webHidden/>
          </w:rPr>
          <w:fldChar w:fldCharType="begin"/>
        </w:r>
        <w:r w:rsidR="00720DCE">
          <w:rPr>
            <w:webHidden/>
          </w:rPr>
          <w:instrText xml:space="preserve"> PAGEREF _Toc18400283 \h </w:instrText>
        </w:r>
        <w:r>
          <w:rPr>
            <w:webHidden/>
          </w:rPr>
        </w:r>
        <w:r>
          <w:rPr>
            <w:webHidden/>
          </w:rPr>
          <w:fldChar w:fldCharType="separate"/>
        </w:r>
        <w:r w:rsidR="004228FA">
          <w:rPr>
            <w:webHidden/>
          </w:rPr>
          <w:t>17</w:t>
        </w:r>
        <w:r>
          <w:rPr>
            <w:webHidden/>
          </w:rPr>
          <w:fldChar w:fldCharType="end"/>
        </w:r>
      </w:hyperlink>
    </w:p>
    <w:p w:rsidR="00720DCE" w:rsidRDefault="00B456DC" w:rsidP="00137A27">
      <w:pPr>
        <w:pStyle w:val="Sumrio1"/>
        <w:rPr>
          <w:rFonts w:asciiTheme="minorHAnsi" w:eastAsiaTheme="minorEastAsia" w:hAnsiTheme="minorHAnsi" w:cstheme="minorBidi"/>
          <w:sz w:val="22"/>
          <w:szCs w:val="22"/>
          <w:lang w:eastAsia="pt-BR"/>
        </w:rPr>
      </w:pPr>
      <w:hyperlink w:anchor="_Toc18400284" w:history="1">
        <w:r w:rsidR="00720DCE" w:rsidRPr="00823B9E">
          <w:rPr>
            <w:rStyle w:val="Hyperlink"/>
          </w:rPr>
          <w:t>1</w:t>
        </w:r>
        <w:r w:rsidR="00137A27">
          <w:rPr>
            <w:rStyle w:val="Hyperlink"/>
          </w:rPr>
          <w:t>7</w:t>
        </w:r>
        <w:r w:rsidR="00720DCE">
          <w:rPr>
            <w:rFonts w:asciiTheme="minorHAnsi" w:eastAsiaTheme="minorEastAsia" w:hAnsiTheme="minorHAnsi" w:cstheme="minorBidi"/>
            <w:sz w:val="22"/>
            <w:szCs w:val="22"/>
            <w:lang w:eastAsia="pt-BR"/>
          </w:rPr>
          <w:tab/>
        </w:r>
        <w:r w:rsidR="00720DCE" w:rsidRPr="00823B9E">
          <w:rPr>
            <w:rStyle w:val="Hyperlink"/>
          </w:rPr>
          <w:t>CRITÉRIOS DE SUSTENTABILIDADE AMBIENTAL</w:t>
        </w:r>
        <w:r w:rsidR="00720DCE">
          <w:rPr>
            <w:webHidden/>
          </w:rPr>
          <w:tab/>
        </w:r>
        <w:r>
          <w:rPr>
            <w:webHidden/>
          </w:rPr>
          <w:fldChar w:fldCharType="begin"/>
        </w:r>
        <w:r w:rsidR="00720DCE">
          <w:rPr>
            <w:webHidden/>
          </w:rPr>
          <w:instrText xml:space="preserve"> PAGEREF _Toc18400284 \h </w:instrText>
        </w:r>
        <w:r>
          <w:rPr>
            <w:webHidden/>
          </w:rPr>
        </w:r>
        <w:r>
          <w:rPr>
            <w:webHidden/>
          </w:rPr>
          <w:fldChar w:fldCharType="separate"/>
        </w:r>
        <w:r w:rsidR="004228FA">
          <w:rPr>
            <w:webHidden/>
          </w:rPr>
          <w:t>18</w:t>
        </w:r>
        <w:r>
          <w:rPr>
            <w:webHidden/>
          </w:rPr>
          <w:fldChar w:fldCharType="end"/>
        </w:r>
      </w:hyperlink>
    </w:p>
    <w:p w:rsidR="00720DCE" w:rsidRDefault="00B456DC" w:rsidP="00137A27">
      <w:pPr>
        <w:pStyle w:val="Sumrio1"/>
        <w:rPr>
          <w:rFonts w:asciiTheme="minorHAnsi" w:eastAsiaTheme="minorEastAsia" w:hAnsiTheme="minorHAnsi" w:cstheme="minorBidi"/>
          <w:sz w:val="22"/>
          <w:szCs w:val="22"/>
          <w:lang w:eastAsia="pt-BR"/>
        </w:rPr>
      </w:pPr>
      <w:hyperlink w:anchor="_Toc18400285" w:history="1">
        <w:r w:rsidR="00720DCE" w:rsidRPr="00823B9E">
          <w:rPr>
            <w:rStyle w:val="Hyperlink"/>
          </w:rPr>
          <w:t>1</w:t>
        </w:r>
        <w:r w:rsidR="00137A27">
          <w:rPr>
            <w:rStyle w:val="Hyperlink"/>
          </w:rPr>
          <w:t>8</w:t>
        </w:r>
        <w:r w:rsidR="00720DCE">
          <w:rPr>
            <w:rFonts w:asciiTheme="minorHAnsi" w:eastAsiaTheme="minorEastAsia" w:hAnsiTheme="minorHAnsi" w:cstheme="minorBidi"/>
            <w:sz w:val="22"/>
            <w:szCs w:val="22"/>
            <w:lang w:eastAsia="pt-BR"/>
          </w:rPr>
          <w:tab/>
        </w:r>
        <w:r w:rsidR="00720DCE" w:rsidRPr="00823B9E">
          <w:rPr>
            <w:rStyle w:val="Hyperlink"/>
          </w:rPr>
          <w:t>OBRIGAÇÕES DA CONTRATADA</w:t>
        </w:r>
        <w:r w:rsidR="00720DCE">
          <w:rPr>
            <w:webHidden/>
          </w:rPr>
          <w:tab/>
        </w:r>
        <w:r>
          <w:rPr>
            <w:webHidden/>
          </w:rPr>
          <w:fldChar w:fldCharType="begin"/>
        </w:r>
        <w:r w:rsidR="00720DCE">
          <w:rPr>
            <w:webHidden/>
          </w:rPr>
          <w:instrText xml:space="preserve"> PAGEREF _Toc18400285 \h </w:instrText>
        </w:r>
        <w:r>
          <w:rPr>
            <w:webHidden/>
          </w:rPr>
        </w:r>
        <w:r>
          <w:rPr>
            <w:webHidden/>
          </w:rPr>
          <w:fldChar w:fldCharType="separate"/>
        </w:r>
        <w:r w:rsidR="004228FA">
          <w:rPr>
            <w:webHidden/>
          </w:rPr>
          <w:t>19</w:t>
        </w:r>
        <w:r>
          <w:rPr>
            <w:webHidden/>
          </w:rPr>
          <w:fldChar w:fldCharType="end"/>
        </w:r>
      </w:hyperlink>
    </w:p>
    <w:p w:rsidR="00720DCE" w:rsidRDefault="00B456DC" w:rsidP="00137A27">
      <w:pPr>
        <w:pStyle w:val="Sumrio1"/>
        <w:rPr>
          <w:rFonts w:asciiTheme="minorHAnsi" w:eastAsiaTheme="minorEastAsia" w:hAnsiTheme="minorHAnsi" w:cstheme="minorBidi"/>
          <w:sz w:val="22"/>
          <w:szCs w:val="22"/>
          <w:lang w:eastAsia="pt-BR"/>
        </w:rPr>
      </w:pPr>
      <w:hyperlink w:anchor="_Toc18400286" w:history="1">
        <w:r w:rsidR="00720DCE" w:rsidRPr="00823B9E">
          <w:rPr>
            <w:rStyle w:val="Hyperlink"/>
          </w:rPr>
          <w:t>1</w:t>
        </w:r>
        <w:r w:rsidR="00137A27">
          <w:rPr>
            <w:rStyle w:val="Hyperlink"/>
          </w:rPr>
          <w:t>9</w:t>
        </w:r>
        <w:r w:rsidR="00720DCE">
          <w:rPr>
            <w:rFonts w:asciiTheme="minorHAnsi" w:eastAsiaTheme="minorEastAsia" w:hAnsiTheme="minorHAnsi" w:cstheme="minorBidi"/>
            <w:sz w:val="22"/>
            <w:szCs w:val="22"/>
            <w:lang w:eastAsia="pt-BR"/>
          </w:rPr>
          <w:tab/>
        </w:r>
        <w:r w:rsidR="00720DCE" w:rsidRPr="00823B9E">
          <w:rPr>
            <w:rStyle w:val="Hyperlink"/>
          </w:rPr>
          <w:t>OBRIGAÇÕES DA CODEVASF</w:t>
        </w:r>
        <w:r w:rsidR="00720DCE">
          <w:rPr>
            <w:webHidden/>
          </w:rPr>
          <w:tab/>
        </w:r>
        <w:r>
          <w:rPr>
            <w:webHidden/>
          </w:rPr>
          <w:fldChar w:fldCharType="begin"/>
        </w:r>
        <w:r w:rsidR="00720DCE">
          <w:rPr>
            <w:webHidden/>
          </w:rPr>
          <w:instrText xml:space="preserve"> PAGEREF _Toc18400286 \h </w:instrText>
        </w:r>
        <w:r>
          <w:rPr>
            <w:webHidden/>
          </w:rPr>
        </w:r>
        <w:r>
          <w:rPr>
            <w:webHidden/>
          </w:rPr>
          <w:fldChar w:fldCharType="separate"/>
        </w:r>
        <w:r w:rsidR="004228FA">
          <w:rPr>
            <w:webHidden/>
          </w:rPr>
          <w:t>23</w:t>
        </w:r>
        <w:r>
          <w:rPr>
            <w:webHidden/>
          </w:rPr>
          <w:fldChar w:fldCharType="end"/>
        </w:r>
      </w:hyperlink>
    </w:p>
    <w:p w:rsidR="00720DCE" w:rsidRDefault="00B456DC" w:rsidP="00137A27">
      <w:pPr>
        <w:pStyle w:val="Sumrio1"/>
        <w:rPr>
          <w:rFonts w:asciiTheme="minorHAnsi" w:eastAsiaTheme="minorEastAsia" w:hAnsiTheme="minorHAnsi" w:cstheme="minorBidi"/>
          <w:sz w:val="22"/>
          <w:szCs w:val="22"/>
          <w:lang w:eastAsia="pt-BR"/>
        </w:rPr>
      </w:pPr>
      <w:hyperlink w:anchor="_Toc18400287" w:history="1">
        <w:r w:rsidR="00137A27">
          <w:rPr>
            <w:rStyle w:val="Hyperlink"/>
          </w:rPr>
          <w:t>20</w:t>
        </w:r>
        <w:r w:rsidR="00720DCE">
          <w:rPr>
            <w:rFonts w:asciiTheme="minorHAnsi" w:eastAsiaTheme="minorEastAsia" w:hAnsiTheme="minorHAnsi" w:cstheme="minorBidi"/>
            <w:sz w:val="22"/>
            <w:szCs w:val="22"/>
            <w:lang w:eastAsia="pt-BR"/>
          </w:rPr>
          <w:tab/>
        </w:r>
        <w:r w:rsidR="00720DCE" w:rsidRPr="00823B9E">
          <w:rPr>
            <w:rStyle w:val="Hyperlink"/>
          </w:rPr>
          <w:t>CONDIÇÕES GERAIS</w:t>
        </w:r>
        <w:r w:rsidR="00720DCE">
          <w:rPr>
            <w:webHidden/>
          </w:rPr>
          <w:tab/>
        </w:r>
        <w:r>
          <w:rPr>
            <w:webHidden/>
          </w:rPr>
          <w:fldChar w:fldCharType="begin"/>
        </w:r>
        <w:r w:rsidR="00720DCE">
          <w:rPr>
            <w:webHidden/>
          </w:rPr>
          <w:instrText xml:space="preserve"> PAGEREF _Toc18400287 \h </w:instrText>
        </w:r>
        <w:r>
          <w:rPr>
            <w:webHidden/>
          </w:rPr>
        </w:r>
        <w:r>
          <w:rPr>
            <w:webHidden/>
          </w:rPr>
          <w:fldChar w:fldCharType="separate"/>
        </w:r>
        <w:r w:rsidR="004228FA">
          <w:rPr>
            <w:webHidden/>
          </w:rPr>
          <w:t>23</w:t>
        </w:r>
        <w:r>
          <w:rPr>
            <w:webHidden/>
          </w:rPr>
          <w:fldChar w:fldCharType="end"/>
        </w:r>
      </w:hyperlink>
    </w:p>
    <w:p w:rsidR="00720DCE" w:rsidRDefault="00B456DC" w:rsidP="00137A27">
      <w:pPr>
        <w:pStyle w:val="Sumrio1"/>
      </w:pPr>
      <w:hyperlink w:anchor="_Toc18400288" w:history="1">
        <w:r w:rsidR="00720DCE" w:rsidRPr="00823B9E">
          <w:rPr>
            <w:rStyle w:val="Hyperlink"/>
          </w:rPr>
          <w:t>2</w:t>
        </w:r>
        <w:r w:rsidR="00137A27">
          <w:rPr>
            <w:rStyle w:val="Hyperlink"/>
          </w:rPr>
          <w:t>1</w:t>
        </w:r>
        <w:r w:rsidR="00720DCE">
          <w:rPr>
            <w:rFonts w:asciiTheme="minorHAnsi" w:eastAsiaTheme="minorEastAsia" w:hAnsiTheme="minorHAnsi" w:cstheme="minorBidi"/>
            <w:sz w:val="22"/>
            <w:szCs w:val="22"/>
            <w:lang w:eastAsia="pt-BR"/>
          </w:rPr>
          <w:tab/>
        </w:r>
        <w:r w:rsidR="00720DCE" w:rsidRPr="00823B9E">
          <w:rPr>
            <w:rStyle w:val="Hyperlink"/>
          </w:rPr>
          <w:t>ANEXOS</w:t>
        </w:r>
        <w:r w:rsidR="00720DCE">
          <w:rPr>
            <w:webHidden/>
          </w:rPr>
          <w:tab/>
        </w:r>
        <w:r>
          <w:rPr>
            <w:webHidden/>
          </w:rPr>
          <w:fldChar w:fldCharType="begin"/>
        </w:r>
        <w:r w:rsidR="00720DCE">
          <w:rPr>
            <w:webHidden/>
          </w:rPr>
          <w:instrText xml:space="preserve"> PAGEREF _Toc18400288 \h </w:instrText>
        </w:r>
        <w:r>
          <w:rPr>
            <w:webHidden/>
          </w:rPr>
        </w:r>
        <w:r>
          <w:rPr>
            <w:webHidden/>
          </w:rPr>
          <w:fldChar w:fldCharType="separate"/>
        </w:r>
        <w:r w:rsidR="004228FA">
          <w:rPr>
            <w:webHidden/>
          </w:rPr>
          <w:t>23</w:t>
        </w:r>
        <w:r>
          <w:rPr>
            <w:webHidden/>
          </w:rPr>
          <w:fldChar w:fldCharType="end"/>
        </w:r>
      </w:hyperlink>
    </w:p>
    <w:p w:rsidR="00FE20C8" w:rsidRPr="00FE20C8" w:rsidRDefault="00FE20C8" w:rsidP="001857EF">
      <w:pPr>
        <w:pStyle w:val="Ttulo1"/>
        <w:numPr>
          <w:ilvl w:val="0"/>
          <w:numId w:val="0"/>
        </w:numPr>
        <w:ind w:left="360" w:hanging="360"/>
      </w:pPr>
    </w:p>
    <w:p w:rsidR="003A07E9" w:rsidRPr="000F656C" w:rsidRDefault="00B456DC" w:rsidP="00574244">
      <w:pPr>
        <w:rPr>
          <w:szCs w:val="20"/>
        </w:rPr>
      </w:pPr>
      <w:r w:rsidRPr="000F656C">
        <w:rPr>
          <w:szCs w:val="20"/>
        </w:rPr>
        <w:fldChar w:fldCharType="end"/>
      </w:r>
    </w:p>
    <w:p w:rsidR="00316B2A" w:rsidRPr="00EB3286" w:rsidRDefault="00316B2A" w:rsidP="00574244">
      <w:pPr>
        <w:rPr>
          <w:szCs w:val="20"/>
        </w:rPr>
      </w:pPr>
      <w:r w:rsidRPr="00EB3286">
        <w:rPr>
          <w:szCs w:val="20"/>
        </w:rPr>
        <w:br w:type="page"/>
      </w:r>
    </w:p>
    <w:p w:rsidR="00B236F1" w:rsidRPr="00EB3286" w:rsidRDefault="00B236F1" w:rsidP="00B236F1">
      <w:pPr>
        <w:jc w:val="center"/>
        <w:rPr>
          <w:b/>
          <w:szCs w:val="20"/>
        </w:rPr>
      </w:pPr>
      <w:r w:rsidRPr="00EB3286">
        <w:rPr>
          <w:b/>
          <w:szCs w:val="20"/>
        </w:rPr>
        <w:lastRenderedPageBreak/>
        <w:t>TERMO DE REFERÊNCIA</w:t>
      </w:r>
    </w:p>
    <w:p w:rsidR="00B236F1" w:rsidRPr="00EB3286" w:rsidRDefault="00B236F1" w:rsidP="00B236F1">
      <w:pPr>
        <w:rPr>
          <w:szCs w:val="20"/>
        </w:rPr>
      </w:pPr>
    </w:p>
    <w:p w:rsidR="00F225A9" w:rsidRPr="00EB3286" w:rsidRDefault="00F225A9" w:rsidP="00713A43">
      <w:pPr>
        <w:pStyle w:val="Ttulo1"/>
      </w:pPr>
      <w:bookmarkStart w:id="1" w:name="_Toc18400269"/>
      <w:bookmarkStart w:id="2" w:name="_Ref400449093"/>
      <w:r w:rsidRPr="00EB3286">
        <w:t>OBJETO DA CONTRATAÇÃO</w:t>
      </w:r>
      <w:bookmarkEnd w:id="1"/>
    </w:p>
    <w:p w:rsidR="00F225A9" w:rsidRPr="00EB3286" w:rsidRDefault="00F225A9" w:rsidP="007F4614">
      <w:pPr>
        <w:tabs>
          <w:tab w:val="left" w:pos="426"/>
        </w:tabs>
        <w:rPr>
          <w:szCs w:val="20"/>
        </w:rPr>
      </w:pPr>
    </w:p>
    <w:p w:rsidR="00942D71" w:rsidRPr="00942D71" w:rsidRDefault="00942D71" w:rsidP="00942D71">
      <w:pPr>
        <w:pStyle w:val="Recuodecorpodetexto"/>
        <w:tabs>
          <w:tab w:val="left" w:pos="-1985"/>
          <w:tab w:val="left" w:pos="-142"/>
        </w:tabs>
        <w:spacing w:line="276" w:lineRule="auto"/>
        <w:ind w:left="0"/>
      </w:pPr>
      <w:r w:rsidRPr="00942D71">
        <w:t xml:space="preserve">O objetivo deste Termo de Referência é o estabelecimento de normas, critérios, condições contratuais e todas as informações que permitam a elaboração de propostas para contratação de empresa para </w:t>
      </w:r>
      <w:r w:rsidR="00FE3D13">
        <w:t xml:space="preserve">execução de serviços de </w:t>
      </w:r>
      <w:proofErr w:type="spellStart"/>
      <w:r w:rsidRPr="00942D71">
        <w:t>perfuraçãoe</w:t>
      </w:r>
      <w:proofErr w:type="spellEnd"/>
      <w:r w:rsidRPr="00942D71">
        <w:t xml:space="preserve"> instalação de poços tubulares em municípios </w:t>
      </w:r>
      <w:r w:rsidR="00843F89">
        <w:t xml:space="preserve">localizados </w:t>
      </w:r>
      <w:r w:rsidRPr="00942D71">
        <w:t>na área de atuação da 2ª Superin</w:t>
      </w:r>
      <w:r w:rsidR="00613C4B">
        <w:t>tendência Regional da CODEVASF</w:t>
      </w:r>
      <w:r w:rsidR="00985440">
        <w:t xml:space="preserve">, </w:t>
      </w:r>
      <w:r w:rsidR="003E2CCA">
        <w:t xml:space="preserve">Bom Jesus da Lapa, </w:t>
      </w:r>
      <w:r w:rsidRPr="00942D71">
        <w:t>no Estado da Bahia.</w:t>
      </w:r>
    </w:p>
    <w:p w:rsidR="00F225A9" w:rsidRPr="00EB3286" w:rsidRDefault="00F225A9" w:rsidP="00F225A9">
      <w:pPr>
        <w:rPr>
          <w:szCs w:val="20"/>
        </w:rPr>
      </w:pPr>
    </w:p>
    <w:p w:rsidR="00A34AF6" w:rsidRDefault="00A34AF6" w:rsidP="00713A43">
      <w:pPr>
        <w:pStyle w:val="Ttulo1"/>
      </w:pPr>
      <w:bookmarkStart w:id="3" w:name="_Toc401910394"/>
      <w:bookmarkStart w:id="4" w:name="_Toc18400270"/>
      <w:bookmarkStart w:id="5" w:name="_Toc401910395"/>
      <w:bookmarkEnd w:id="2"/>
      <w:r w:rsidRPr="00EB3286">
        <w:t>TERMINOLOGIAS E DEFINIÇÕES</w:t>
      </w:r>
      <w:bookmarkEnd w:id="3"/>
      <w:bookmarkEnd w:id="4"/>
    </w:p>
    <w:p w:rsidR="006A1806" w:rsidRPr="006A1806" w:rsidRDefault="006A1806" w:rsidP="006A1806"/>
    <w:p w:rsidR="00A34AF6" w:rsidRPr="00EB3286" w:rsidRDefault="00A34AF6" w:rsidP="00A34AF6">
      <w:pPr>
        <w:rPr>
          <w:szCs w:val="20"/>
        </w:rPr>
      </w:pPr>
      <w:r w:rsidRPr="00EB3286">
        <w:rPr>
          <w:szCs w:val="20"/>
        </w:rPr>
        <w:t>Neste Termo de Referência (TR) ou em quaisquer outros documentos relacionados com os serviços acima solicitados, os termos ou expressões têm o seguinte significado e/ou interpretação:</w:t>
      </w:r>
    </w:p>
    <w:p w:rsidR="00A34AF6" w:rsidRDefault="00A34AF6" w:rsidP="00A34AF6">
      <w:pPr>
        <w:rPr>
          <w:szCs w:val="20"/>
        </w:rPr>
      </w:pPr>
    </w:p>
    <w:p w:rsidR="00E12F47" w:rsidRPr="00220A14" w:rsidRDefault="00640772" w:rsidP="00A34AF6">
      <w:pPr>
        <w:rPr>
          <w:szCs w:val="20"/>
        </w:rPr>
      </w:pPr>
      <w:r w:rsidRPr="00234E84">
        <w:rPr>
          <w:b/>
          <w:szCs w:val="20"/>
        </w:rPr>
        <w:t>ÁREA DA</w:t>
      </w:r>
      <w:r w:rsidR="00580BAD">
        <w:rPr>
          <w:b/>
          <w:szCs w:val="20"/>
        </w:rPr>
        <w:t>2</w:t>
      </w:r>
      <w:r w:rsidRPr="00234E84">
        <w:rPr>
          <w:b/>
          <w:szCs w:val="20"/>
        </w:rPr>
        <w:t xml:space="preserve">ª </w:t>
      </w:r>
      <w:r w:rsidR="00234E84" w:rsidRPr="00234E84">
        <w:rPr>
          <w:b/>
          <w:szCs w:val="20"/>
        </w:rPr>
        <w:t>SR</w:t>
      </w:r>
      <w:r w:rsidR="00E12F47" w:rsidRPr="00B67FDF">
        <w:rPr>
          <w:szCs w:val="20"/>
        </w:rPr>
        <w:t xml:space="preserve">– Unidade da </w:t>
      </w:r>
      <w:r w:rsidR="00E12F47" w:rsidRPr="00220A14">
        <w:rPr>
          <w:szCs w:val="20"/>
        </w:rPr>
        <w:t xml:space="preserve">administração superior da </w:t>
      </w:r>
      <w:r w:rsidR="00E12F47">
        <w:rPr>
          <w:szCs w:val="20"/>
        </w:rPr>
        <w:t>C</w:t>
      </w:r>
      <w:r w:rsidR="00580BAD">
        <w:rPr>
          <w:szCs w:val="20"/>
        </w:rPr>
        <w:t>ODEVASF</w:t>
      </w:r>
      <w:r w:rsidR="00E12F47" w:rsidRPr="00220A14">
        <w:rPr>
          <w:szCs w:val="20"/>
        </w:rPr>
        <w:t>, a qual est</w:t>
      </w:r>
      <w:r w:rsidR="00477DDC">
        <w:rPr>
          <w:szCs w:val="20"/>
        </w:rPr>
        <w:t>á</w:t>
      </w:r>
      <w:r w:rsidR="00E12F47" w:rsidRPr="00220A14">
        <w:rPr>
          <w:szCs w:val="20"/>
        </w:rPr>
        <w:t xml:space="preserve"> afeta as demais unidades técnicas que </w:t>
      </w:r>
      <w:proofErr w:type="gramStart"/>
      <w:r w:rsidR="00E12F47" w:rsidRPr="00220A14">
        <w:rPr>
          <w:szCs w:val="20"/>
        </w:rPr>
        <w:t>t</w:t>
      </w:r>
      <w:r w:rsidR="00677968">
        <w:rPr>
          <w:szCs w:val="20"/>
        </w:rPr>
        <w:t>ê</w:t>
      </w:r>
      <w:r w:rsidR="00E12F47" w:rsidRPr="00220A14">
        <w:rPr>
          <w:szCs w:val="20"/>
        </w:rPr>
        <w:t>m</w:t>
      </w:r>
      <w:r w:rsidR="00677968">
        <w:rPr>
          <w:szCs w:val="20"/>
        </w:rPr>
        <w:t>,</w:t>
      </w:r>
      <w:proofErr w:type="gramEnd"/>
      <w:r w:rsidR="00677968">
        <w:rPr>
          <w:szCs w:val="20"/>
        </w:rPr>
        <w:t>dentre suas</w:t>
      </w:r>
      <w:r w:rsidR="00E12F47" w:rsidRPr="00220A14">
        <w:rPr>
          <w:szCs w:val="20"/>
        </w:rPr>
        <w:t xml:space="preserve"> competência</w:t>
      </w:r>
      <w:r w:rsidR="00677968">
        <w:rPr>
          <w:szCs w:val="20"/>
        </w:rPr>
        <w:t>s,</w:t>
      </w:r>
      <w:r w:rsidR="00E12F47" w:rsidRPr="00220A14">
        <w:rPr>
          <w:szCs w:val="20"/>
        </w:rPr>
        <w:t xml:space="preserve"> a fiscalização e a coordenação dos serviços de engenharia ob</w:t>
      </w:r>
      <w:r w:rsidR="00E12F47">
        <w:rPr>
          <w:szCs w:val="20"/>
        </w:rPr>
        <w:t>jeto deste Termo de Referência.</w:t>
      </w:r>
    </w:p>
    <w:p w:rsidR="00E12F47" w:rsidRDefault="00E12F47" w:rsidP="00E12F47"/>
    <w:p w:rsidR="00E12F47" w:rsidRDefault="00E12F47" w:rsidP="00A34AF6">
      <w:pPr>
        <w:rPr>
          <w:szCs w:val="20"/>
        </w:rPr>
      </w:pPr>
      <w:r>
        <w:rPr>
          <w:b/>
          <w:szCs w:val="20"/>
        </w:rPr>
        <w:t>CODEVASF</w:t>
      </w:r>
      <w:r w:rsidRPr="00EB3286">
        <w:rPr>
          <w:szCs w:val="20"/>
        </w:rPr>
        <w:t xml:space="preserve"> – Companhia de Desenvolvimento dos Vales do São Francisco e do Parnaíba – Empresa pública vinculada ao Ministério d</w:t>
      </w:r>
      <w:r w:rsidR="00A545D7">
        <w:rPr>
          <w:szCs w:val="20"/>
        </w:rPr>
        <w:t>o Desenvolvimento Reg</w:t>
      </w:r>
      <w:r w:rsidRPr="00EB3286">
        <w:rPr>
          <w:szCs w:val="20"/>
        </w:rPr>
        <w:t xml:space="preserve">ional, com sede no Setor de Grandes Áreas Norte, Quadra 601 – Lote </w:t>
      </w:r>
      <w:proofErr w:type="gramStart"/>
      <w:r w:rsidRPr="00EB3286">
        <w:rPr>
          <w:szCs w:val="20"/>
        </w:rPr>
        <w:t>1</w:t>
      </w:r>
      <w:proofErr w:type="gramEnd"/>
      <w:r w:rsidRPr="00EB3286">
        <w:rPr>
          <w:szCs w:val="20"/>
        </w:rPr>
        <w:t xml:space="preserve"> – Brasília-DF.</w:t>
      </w:r>
      <w:r w:rsidR="00677968">
        <w:rPr>
          <w:szCs w:val="20"/>
        </w:rPr>
        <w:t xml:space="preserve"> Como responsável pelo acompanhamento</w:t>
      </w:r>
      <w:r w:rsidR="003C1C06">
        <w:rPr>
          <w:szCs w:val="20"/>
        </w:rPr>
        <w:t xml:space="preserve"> dos presentes serviços está a </w:t>
      </w:r>
      <w:r w:rsidR="00580BAD">
        <w:rPr>
          <w:szCs w:val="20"/>
        </w:rPr>
        <w:t>2</w:t>
      </w:r>
      <w:r w:rsidR="00677968">
        <w:rPr>
          <w:szCs w:val="20"/>
        </w:rPr>
        <w:t xml:space="preserve">ª Superintendência Regional da </w:t>
      </w:r>
      <w:r w:rsidR="00580BAD">
        <w:rPr>
          <w:szCs w:val="20"/>
        </w:rPr>
        <w:t>CODEVASF</w:t>
      </w:r>
      <w:r w:rsidR="00677968">
        <w:rPr>
          <w:szCs w:val="20"/>
        </w:rPr>
        <w:t xml:space="preserve">, que se localiza </w:t>
      </w:r>
      <w:proofErr w:type="spellStart"/>
      <w:proofErr w:type="gramStart"/>
      <w:r w:rsidR="00580BAD">
        <w:rPr>
          <w:szCs w:val="20"/>
        </w:rPr>
        <w:t>aAvenida</w:t>
      </w:r>
      <w:proofErr w:type="spellEnd"/>
      <w:proofErr w:type="gramEnd"/>
      <w:r w:rsidR="00580BAD">
        <w:rPr>
          <w:szCs w:val="20"/>
        </w:rPr>
        <w:t xml:space="preserve"> Manoel Novaes s/nº - Centro</w:t>
      </w:r>
      <w:r w:rsidR="002C13B6">
        <w:rPr>
          <w:szCs w:val="20"/>
        </w:rPr>
        <w:t xml:space="preserve"> - </w:t>
      </w:r>
      <w:r w:rsidR="00580BAD">
        <w:rPr>
          <w:szCs w:val="20"/>
        </w:rPr>
        <w:t>CEP</w:t>
      </w:r>
      <w:r w:rsidR="003C1C06">
        <w:rPr>
          <w:szCs w:val="20"/>
        </w:rPr>
        <w:t xml:space="preserve">: </w:t>
      </w:r>
      <w:r w:rsidR="00580BAD">
        <w:rPr>
          <w:szCs w:val="20"/>
        </w:rPr>
        <w:t>4</w:t>
      </w:r>
      <w:r w:rsidR="003C1C06">
        <w:rPr>
          <w:szCs w:val="20"/>
        </w:rPr>
        <w:t>7</w:t>
      </w:r>
      <w:r w:rsidR="00580BAD">
        <w:rPr>
          <w:szCs w:val="20"/>
        </w:rPr>
        <w:t>.6</w:t>
      </w:r>
      <w:r w:rsidR="003C1C06">
        <w:rPr>
          <w:szCs w:val="20"/>
        </w:rPr>
        <w:t>00-000</w:t>
      </w:r>
      <w:r w:rsidR="002C13B6">
        <w:rPr>
          <w:szCs w:val="20"/>
        </w:rPr>
        <w:t>,Bom Jesus da Lapa/BA</w:t>
      </w:r>
      <w:r w:rsidR="00677968">
        <w:rPr>
          <w:szCs w:val="20"/>
        </w:rPr>
        <w:t>.</w:t>
      </w:r>
    </w:p>
    <w:p w:rsidR="00E12F47" w:rsidRPr="00EB3286" w:rsidRDefault="00E12F47" w:rsidP="00A34AF6">
      <w:pPr>
        <w:rPr>
          <w:szCs w:val="20"/>
        </w:rPr>
      </w:pPr>
    </w:p>
    <w:p w:rsidR="00E12F47" w:rsidRDefault="00E12F47" w:rsidP="00A34AF6">
      <w:pPr>
        <w:rPr>
          <w:szCs w:val="20"/>
        </w:rPr>
      </w:pPr>
      <w:r w:rsidRPr="00220A14">
        <w:rPr>
          <w:b/>
          <w:szCs w:val="20"/>
        </w:rPr>
        <w:t>COMO CONSTRUÍDO (AS BUILT)</w:t>
      </w:r>
      <w:r>
        <w:rPr>
          <w:szCs w:val="20"/>
        </w:rPr>
        <w:t>–</w:t>
      </w:r>
      <w:r w:rsidRPr="00220A14">
        <w:rPr>
          <w:szCs w:val="20"/>
        </w:rPr>
        <w:t xml:space="preserve"> </w:t>
      </w:r>
      <w:proofErr w:type="spellStart"/>
      <w:r w:rsidRPr="00220A14">
        <w:rPr>
          <w:szCs w:val="20"/>
        </w:rPr>
        <w:t>Éa</w:t>
      </w:r>
      <w:proofErr w:type="spellEnd"/>
      <w:r w:rsidRPr="00220A14">
        <w:rPr>
          <w:szCs w:val="20"/>
        </w:rPr>
        <w:t xml:space="preserve"> definição qualitativa e quantitativa de todos os serviços executados, resultante do Projeto Executivo com as alterações e modificações </w:t>
      </w:r>
      <w:r>
        <w:rPr>
          <w:szCs w:val="20"/>
        </w:rPr>
        <w:t>ocorridas</w:t>
      </w:r>
      <w:r w:rsidRPr="00220A14">
        <w:rPr>
          <w:szCs w:val="20"/>
        </w:rPr>
        <w:t xml:space="preserve"> durante a execuç</w:t>
      </w:r>
      <w:r w:rsidRPr="004F3B3C">
        <w:rPr>
          <w:szCs w:val="20"/>
        </w:rPr>
        <w:t>ão da obra</w:t>
      </w:r>
      <w:r w:rsidR="00A91F02" w:rsidRPr="004F3B3C">
        <w:rPr>
          <w:szCs w:val="20"/>
        </w:rPr>
        <w:t xml:space="preserve"> ou serviços de</w:t>
      </w:r>
      <w:r w:rsidR="00A91F02">
        <w:rPr>
          <w:szCs w:val="20"/>
        </w:rPr>
        <w:t xml:space="preserve"> engenharia</w:t>
      </w:r>
      <w:r w:rsidRPr="00220A14">
        <w:rPr>
          <w:szCs w:val="20"/>
        </w:rPr>
        <w:t>, como de</w:t>
      </w:r>
      <w:r>
        <w:rPr>
          <w:szCs w:val="20"/>
        </w:rPr>
        <w:t>senhos, listas, planilhas, etc.</w:t>
      </w:r>
    </w:p>
    <w:p w:rsidR="00E12F47" w:rsidRDefault="00E12F47" w:rsidP="00A34AF6">
      <w:pPr>
        <w:rPr>
          <w:szCs w:val="20"/>
        </w:rPr>
      </w:pPr>
    </w:p>
    <w:p w:rsidR="00E12F47" w:rsidRDefault="00E12F47" w:rsidP="00A34AF6">
      <w:pPr>
        <w:rPr>
          <w:szCs w:val="20"/>
        </w:rPr>
      </w:pPr>
      <w:r w:rsidRPr="00EB3286">
        <w:rPr>
          <w:b/>
          <w:szCs w:val="20"/>
        </w:rPr>
        <w:t>CONTRATADA</w:t>
      </w:r>
      <w:r w:rsidRPr="00EB3286">
        <w:rPr>
          <w:szCs w:val="20"/>
        </w:rPr>
        <w:t xml:space="preserve"> – Empresa licitante selecionada e contratada pela </w:t>
      </w:r>
      <w:r w:rsidR="002C13B6">
        <w:rPr>
          <w:szCs w:val="20"/>
        </w:rPr>
        <w:t>CODEVASF</w:t>
      </w:r>
      <w:r w:rsidRPr="00EB3286">
        <w:rPr>
          <w:szCs w:val="20"/>
        </w:rPr>
        <w:t xml:space="preserve"> para a execução dos serviços.</w:t>
      </w:r>
    </w:p>
    <w:p w:rsidR="00E12F47" w:rsidRPr="00EB3286" w:rsidRDefault="00E12F47" w:rsidP="00A34AF6">
      <w:pPr>
        <w:rPr>
          <w:szCs w:val="20"/>
        </w:rPr>
      </w:pPr>
    </w:p>
    <w:p w:rsidR="00E12F47" w:rsidRDefault="00E12F47" w:rsidP="00A34AF6">
      <w:pPr>
        <w:rPr>
          <w:szCs w:val="20"/>
        </w:rPr>
      </w:pPr>
      <w:r w:rsidRPr="00EB3286">
        <w:rPr>
          <w:b/>
          <w:szCs w:val="20"/>
        </w:rPr>
        <w:t>CONTRATO</w:t>
      </w:r>
      <w:r w:rsidRPr="00EB3286">
        <w:rPr>
          <w:szCs w:val="20"/>
        </w:rPr>
        <w:t xml:space="preserve"> – Documento, subscrito pela </w:t>
      </w:r>
      <w:r w:rsidR="002C13B6">
        <w:rPr>
          <w:szCs w:val="20"/>
        </w:rPr>
        <w:t>CODEVASF</w:t>
      </w:r>
      <w:r w:rsidRPr="00EB3286">
        <w:rPr>
          <w:szCs w:val="20"/>
        </w:rPr>
        <w:t xml:space="preserve"> e a licitante vencedora do certame, que define as obrigações e direitos de ambas com relação à execução dos serviços.</w:t>
      </w:r>
    </w:p>
    <w:p w:rsidR="00E12F47" w:rsidRPr="00EB3286" w:rsidRDefault="00E12F47" w:rsidP="00A34AF6">
      <w:pPr>
        <w:rPr>
          <w:szCs w:val="20"/>
        </w:rPr>
      </w:pPr>
    </w:p>
    <w:p w:rsidR="00E12F47" w:rsidRDefault="00E12F47" w:rsidP="00A34AF6">
      <w:pPr>
        <w:rPr>
          <w:szCs w:val="20"/>
        </w:rPr>
      </w:pPr>
      <w:r w:rsidRPr="00220A14">
        <w:rPr>
          <w:b/>
          <w:szCs w:val="20"/>
        </w:rPr>
        <w:t>CRONOGRAMA FÍSICO-FINANCEIRO</w:t>
      </w:r>
      <w:r w:rsidRPr="00220A14">
        <w:rPr>
          <w:szCs w:val="20"/>
        </w:rPr>
        <w:t xml:space="preserve"> – representação gráfica da programação parcial ou total de um trabalho ou serviço, no qual são indicadas as suas diversas etapas e respectivos prazos para conclusão, aliados aos custos ou preços.</w:t>
      </w:r>
    </w:p>
    <w:p w:rsidR="00E12F47" w:rsidRDefault="00E12F47" w:rsidP="00A34AF6">
      <w:pPr>
        <w:rPr>
          <w:szCs w:val="20"/>
        </w:rPr>
      </w:pPr>
    </w:p>
    <w:p w:rsidR="00E12F47" w:rsidRDefault="00E12F47" w:rsidP="00A34AF6">
      <w:pPr>
        <w:rPr>
          <w:szCs w:val="20"/>
        </w:rPr>
      </w:pPr>
      <w:r w:rsidRPr="00EB3286">
        <w:rPr>
          <w:b/>
          <w:szCs w:val="20"/>
        </w:rPr>
        <w:t>DOCUMENTOS COMPLEMENTARES ou SUPLEMENTARES</w:t>
      </w:r>
      <w:r w:rsidRPr="00EB3286">
        <w:rPr>
          <w:szCs w:val="20"/>
        </w:rPr>
        <w:t xml:space="preserve"> – Documentos que, por força de condições técnicas imprevisíveis, se fizerem necessários para a complementação ou suplementação dos documentos emitidos no Termo de Referência.</w:t>
      </w:r>
    </w:p>
    <w:p w:rsidR="00E12F47" w:rsidRPr="00EB3286" w:rsidRDefault="00E12F47" w:rsidP="00A34AF6">
      <w:pPr>
        <w:rPr>
          <w:szCs w:val="20"/>
        </w:rPr>
      </w:pPr>
    </w:p>
    <w:p w:rsidR="00E12F47" w:rsidRDefault="00E12F47" w:rsidP="00A34AF6">
      <w:pPr>
        <w:rPr>
          <w:szCs w:val="20"/>
        </w:rPr>
      </w:pPr>
      <w:r w:rsidRPr="00EB3286">
        <w:rPr>
          <w:b/>
          <w:szCs w:val="20"/>
        </w:rPr>
        <w:t>DOCUMENTOS DE CONTRATO</w:t>
      </w:r>
      <w:r w:rsidRPr="00EB3286">
        <w:rPr>
          <w:szCs w:val="20"/>
        </w:rP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w:t>
      </w:r>
      <w:r>
        <w:rPr>
          <w:szCs w:val="20"/>
        </w:rPr>
        <w:t xml:space="preserve"> objeto.</w:t>
      </w:r>
    </w:p>
    <w:p w:rsidR="002E00DC" w:rsidRPr="00EB3286" w:rsidRDefault="002E00DC" w:rsidP="00A34AF6">
      <w:pPr>
        <w:rPr>
          <w:szCs w:val="20"/>
        </w:rPr>
      </w:pPr>
    </w:p>
    <w:p w:rsidR="00E12F47" w:rsidRDefault="00E12F47" w:rsidP="007B38F2">
      <w:pPr>
        <w:rPr>
          <w:szCs w:val="20"/>
        </w:rPr>
      </w:pPr>
      <w:r w:rsidRPr="00EB3286">
        <w:rPr>
          <w:b/>
          <w:szCs w:val="20"/>
        </w:rPr>
        <w:t>ESPECIFICAÇÃO TÉCNICA</w:t>
      </w:r>
      <w:r w:rsidRPr="00EB3286">
        <w:rPr>
          <w:szCs w:val="20"/>
        </w:rPr>
        <w:t xml:space="preserve"> – </w:t>
      </w:r>
      <w:r>
        <w:rPr>
          <w:szCs w:val="20"/>
        </w:rPr>
        <w:t xml:space="preserve">Documento que </w:t>
      </w:r>
      <w:r w:rsidRPr="007B38F2">
        <w:rPr>
          <w:szCs w:val="20"/>
        </w:rPr>
        <w:t xml:space="preserve">descreve, de forma precisa, completa e ordenada, </w:t>
      </w:r>
      <w:proofErr w:type="spellStart"/>
      <w:r w:rsidRPr="007B38F2">
        <w:rPr>
          <w:szCs w:val="20"/>
        </w:rPr>
        <w:t>osmateriais</w:t>
      </w:r>
      <w:proofErr w:type="spellEnd"/>
      <w:r w:rsidRPr="007B38F2">
        <w:rPr>
          <w:szCs w:val="20"/>
        </w:rPr>
        <w:t xml:space="preserve"> e os procedimentos de execução a serem adotados na </w:t>
      </w:r>
      <w:r w:rsidR="0053461A">
        <w:rPr>
          <w:szCs w:val="20"/>
        </w:rPr>
        <w:t>execução do objeto</w:t>
      </w:r>
      <w:r w:rsidRPr="007B38F2">
        <w:rPr>
          <w:szCs w:val="20"/>
        </w:rPr>
        <w:t xml:space="preserve">. </w:t>
      </w:r>
      <w:proofErr w:type="gramStart"/>
      <w:r w:rsidRPr="007B38F2">
        <w:rPr>
          <w:szCs w:val="20"/>
        </w:rPr>
        <w:t>Têm</w:t>
      </w:r>
      <w:proofErr w:type="gramEnd"/>
      <w:r w:rsidRPr="007B38F2">
        <w:rPr>
          <w:szCs w:val="20"/>
        </w:rPr>
        <w:t xml:space="preserve"> </w:t>
      </w:r>
      <w:proofErr w:type="spellStart"/>
      <w:r w:rsidRPr="007B38F2">
        <w:rPr>
          <w:szCs w:val="20"/>
        </w:rPr>
        <w:t>comofinalidade</w:t>
      </w:r>
      <w:proofErr w:type="spellEnd"/>
      <w:r w:rsidRPr="007B38F2">
        <w:rPr>
          <w:szCs w:val="20"/>
        </w:rPr>
        <w:t xml:space="preserve"> complementar a parte gráfica do projeto.</w:t>
      </w:r>
      <w:r>
        <w:rPr>
          <w:szCs w:val="20"/>
        </w:rPr>
        <w:t xml:space="preserve"> São p</w:t>
      </w:r>
      <w:r w:rsidRPr="007B38F2">
        <w:rPr>
          <w:szCs w:val="20"/>
        </w:rPr>
        <w:t xml:space="preserve">artes </w:t>
      </w:r>
      <w:r>
        <w:rPr>
          <w:szCs w:val="20"/>
        </w:rPr>
        <w:t xml:space="preserve">integrantes </w:t>
      </w:r>
      <w:r w:rsidRPr="007B38F2">
        <w:rPr>
          <w:szCs w:val="20"/>
        </w:rPr>
        <w:t xml:space="preserve">das </w:t>
      </w:r>
      <w:r>
        <w:rPr>
          <w:szCs w:val="20"/>
        </w:rPr>
        <w:t>especificações técnicas:</w:t>
      </w:r>
    </w:p>
    <w:p w:rsidR="00E12F47" w:rsidRDefault="00E12F47" w:rsidP="007B38F2">
      <w:pPr>
        <w:rPr>
          <w:szCs w:val="20"/>
        </w:rPr>
      </w:pPr>
    </w:p>
    <w:p w:rsidR="00E12F47" w:rsidRPr="00F8687C" w:rsidRDefault="00E12F47" w:rsidP="009017F5">
      <w:pPr>
        <w:pStyle w:val="PargrafodaLista"/>
        <w:numPr>
          <w:ilvl w:val="0"/>
          <w:numId w:val="16"/>
        </w:numPr>
      </w:pPr>
      <w:r w:rsidRPr="004F3B3C">
        <w:t>Generalidades - incluem o objetivo, identificação d</w:t>
      </w:r>
      <w:r w:rsidR="005D00ED" w:rsidRPr="004F3B3C">
        <w:t>os</w:t>
      </w:r>
      <w:r w:rsidR="00A91F02" w:rsidRPr="004F3B3C">
        <w:t xml:space="preserve"> serviços de engenharia</w:t>
      </w:r>
      <w:r w:rsidRPr="004F3B3C">
        <w:t xml:space="preserve">, regime de execução </w:t>
      </w:r>
      <w:r w:rsidR="005D00ED" w:rsidRPr="004F3B3C">
        <w:t>dos serviços</w:t>
      </w:r>
      <w:r w:rsidRPr="004F3B3C">
        <w:t xml:space="preserve">, fiscalização, recebimento </w:t>
      </w:r>
      <w:r w:rsidR="005D00ED" w:rsidRPr="004F3B3C">
        <w:t xml:space="preserve">dos serviços </w:t>
      </w:r>
      <w:r w:rsidR="00A91F02" w:rsidRPr="004F3B3C">
        <w:t>de engenharia</w:t>
      </w:r>
      <w:r w:rsidRPr="004F3B3C">
        <w:t>, modificações de projeto, classificação dos serviços (item c). Havendo caderno de encargos, este englobará quase todos estes aspectos</w:t>
      </w:r>
      <w:r w:rsidRPr="00F8687C">
        <w:t>.</w:t>
      </w:r>
    </w:p>
    <w:p w:rsidR="00E12F47" w:rsidRPr="00F8687C" w:rsidRDefault="00E12F47" w:rsidP="009017F5">
      <w:pPr>
        <w:pStyle w:val="PargrafodaLista"/>
        <w:numPr>
          <w:ilvl w:val="0"/>
          <w:numId w:val="16"/>
        </w:numPr>
      </w:pPr>
      <w:r>
        <w:t>E</w:t>
      </w:r>
      <w:r w:rsidRPr="00F8687C">
        <w:t xml:space="preserve">specificação dos materiais - pode ser escrito de duas formas: genérica (aplicável a qualquer </w:t>
      </w:r>
      <w:proofErr w:type="spellStart"/>
      <w:r w:rsidR="005D00ED" w:rsidRPr="004F3B3C">
        <w:t>serviço</w:t>
      </w:r>
      <w:r w:rsidR="00A91F02">
        <w:t>de</w:t>
      </w:r>
      <w:proofErr w:type="spellEnd"/>
      <w:r w:rsidR="00A91F02">
        <w:t xml:space="preserve"> engenharia</w:t>
      </w:r>
      <w:r w:rsidRPr="00F8687C">
        <w:t>) ou específica (relacionando apenas os materiais a serem usados n</w:t>
      </w:r>
      <w:r w:rsidR="00A91F02">
        <w:t>os serviços de engenharia</w:t>
      </w:r>
      <w:r w:rsidRPr="00F8687C">
        <w:t xml:space="preserve"> em questão).</w:t>
      </w:r>
    </w:p>
    <w:p w:rsidR="00E12F47" w:rsidRPr="00F8687C" w:rsidRDefault="00E12F47" w:rsidP="009017F5">
      <w:pPr>
        <w:pStyle w:val="PargrafodaLista"/>
        <w:numPr>
          <w:ilvl w:val="0"/>
          <w:numId w:val="16"/>
        </w:numPr>
      </w:pPr>
      <w:r>
        <w:t>D</w:t>
      </w:r>
      <w:r w:rsidRPr="00F8687C">
        <w:t>iscriminação dos serviços - especifica como devem ser executados os serviços, indicando traços de argamassa, método de assentamento, forma de corte de peças, etc.</w:t>
      </w:r>
    </w:p>
    <w:p w:rsidR="00E12F47" w:rsidRPr="007B38F2" w:rsidRDefault="00E12F47" w:rsidP="007B38F2">
      <w:pPr>
        <w:rPr>
          <w:szCs w:val="20"/>
        </w:rPr>
      </w:pPr>
    </w:p>
    <w:p w:rsidR="00E12F47" w:rsidRDefault="00E12F47" w:rsidP="00A34AF6">
      <w:pPr>
        <w:rPr>
          <w:szCs w:val="20"/>
        </w:rPr>
      </w:pPr>
      <w:r w:rsidRPr="00EB3286">
        <w:rPr>
          <w:b/>
          <w:szCs w:val="20"/>
        </w:rPr>
        <w:t>FISCALIZAÇÃO</w:t>
      </w:r>
      <w:r w:rsidRPr="00EB3286">
        <w:rPr>
          <w:szCs w:val="20"/>
        </w:rPr>
        <w:t xml:space="preserve"> – Equipe da </w:t>
      </w:r>
      <w:r w:rsidR="002C13B6">
        <w:rPr>
          <w:szCs w:val="20"/>
        </w:rPr>
        <w:t>CODEVASF</w:t>
      </w:r>
      <w:r w:rsidRPr="00EB3286">
        <w:rPr>
          <w:szCs w:val="20"/>
        </w:rPr>
        <w:t xml:space="preserve"> indicada para exercer em sua representação a fiscalização do contrato.</w:t>
      </w:r>
    </w:p>
    <w:p w:rsidR="00E12F47" w:rsidRPr="00EB3286" w:rsidRDefault="00E12F47" w:rsidP="00A34AF6">
      <w:pPr>
        <w:rPr>
          <w:szCs w:val="20"/>
        </w:rPr>
      </w:pPr>
    </w:p>
    <w:p w:rsidR="00E12F47" w:rsidRDefault="00E12F47" w:rsidP="00A34AF6">
      <w:pPr>
        <w:rPr>
          <w:szCs w:val="20"/>
        </w:rPr>
      </w:pPr>
      <w:r w:rsidRPr="00EB3286">
        <w:rPr>
          <w:b/>
          <w:szCs w:val="20"/>
        </w:rPr>
        <w:t>LICITANTE</w:t>
      </w:r>
      <w:r w:rsidRPr="00EB3286">
        <w:rPr>
          <w:szCs w:val="20"/>
        </w:rPr>
        <w:t xml:space="preserve"> – Empresa habilitada para apresentar proposta.</w:t>
      </w:r>
    </w:p>
    <w:p w:rsidR="00E12F47" w:rsidRPr="00EB3286" w:rsidRDefault="00E12F47" w:rsidP="00A34AF6">
      <w:pPr>
        <w:rPr>
          <w:szCs w:val="20"/>
        </w:rPr>
      </w:pPr>
    </w:p>
    <w:p w:rsidR="00E12F47" w:rsidRDefault="00E12F47" w:rsidP="00A34AF6">
      <w:pPr>
        <w:rPr>
          <w:szCs w:val="20"/>
        </w:rPr>
      </w:pPr>
      <w:r w:rsidRPr="00FB0888">
        <w:rPr>
          <w:b/>
          <w:szCs w:val="20"/>
        </w:rPr>
        <w:t>SERVIÇOS DE ENGENHARIA</w:t>
      </w:r>
      <w:r>
        <w:rPr>
          <w:szCs w:val="20"/>
        </w:rPr>
        <w:t xml:space="preserve"> – </w:t>
      </w:r>
      <w:r w:rsidRPr="00220A14">
        <w:rPr>
          <w:szCs w:val="20"/>
        </w:rPr>
        <w:t>São todas as atividades relativas à execução d</w:t>
      </w:r>
      <w:r w:rsidR="00A91F02">
        <w:t>o</w:t>
      </w:r>
      <w:r w:rsidR="005B1D27">
        <w:t>s</w:t>
      </w:r>
      <w:r w:rsidR="00A91F02">
        <w:t xml:space="preserve"> serviços de engenharia</w:t>
      </w:r>
      <w:r w:rsidRPr="00220A14">
        <w:rPr>
          <w:szCs w:val="20"/>
        </w:rPr>
        <w:t xml:space="preserve">, de construção, </w:t>
      </w:r>
      <w:proofErr w:type="gramStart"/>
      <w:r w:rsidRPr="00220A14">
        <w:rPr>
          <w:szCs w:val="20"/>
        </w:rPr>
        <w:t>reforma,</w:t>
      </w:r>
      <w:proofErr w:type="gramEnd"/>
      <w:r w:rsidRPr="00220A14">
        <w:rPr>
          <w:szCs w:val="20"/>
        </w:rPr>
        <w:t xml:space="preserve"> recuperação ou ampliação de bem imóvel.</w:t>
      </w:r>
    </w:p>
    <w:p w:rsidR="00E12F47" w:rsidRPr="00220A14" w:rsidRDefault="00E12F47" w:rsidP="00A34AF6">
      <w:pPr>
        <w:rPr>
          <w:szCs w:val="20"/>
        </w:rPr>
      </w:pPr>
    </w:p>
    <w:p w:rsidR="00E12F47" w:rsidRDefault="00E12F47" w:rsidP="00D204B3">
      <w:pPr>
        <w:rPr>
          <w:szCs w:val="20"/>
        </w:rPr>
      </w:pPr>
      <w:r w:rsidRPr="00EB3286">
        <w:rPr>
          <w:b/>
          <w:szCs w:val="20"/>
        </w:rPr>
        <w:t>PLAN</w:t>
      </w:r>
      <w:r>
        <w:rPr>
          <w:b/>
          <w:szCs w:val="20"/>
        </w:rPr>
        <w:t>ILHA DE CUSTOS DO VALOR DA PROPOSTA DA LICITANTE</w:t>
      </w:r>
      <w:r w:rsidRPr="00EB3286">
        <w:rPr>
          <w:szCs w:val="20"/>
        </w:rPr>
        <w:t xml:space="preserve"> – </w:t>
      </w:r>
      <w:r>
        <w:rPr>
          <w:szCs w:val="20"/>
        </w:rPr>
        <w:t>R</w:t>
      </w:r>
      <w:r w:rsidRPr="00D204B3">
        <w:rPr>
          <w:szCs w:val="20"/>
        </w:rPr>
        <w:t>epresenta o produto do somatório do preço d</w:t>
      </w:r>
      <w:r>
        <w:rPr>
          <w:szCs w:val="20"/>
        </w:rPr>
        <w:t xml:space="preserve">a </w:t>
      </w:r>
      <w:r w:rsidR="002C13B6">
        <w:rPr>
          <w:szCs w:val="20"/>
        </w:rPr>
        <w:t>l</w:t>
      </w:r>
      <w:r>
        <w:rPr>
          <w:szCs w:val="20"/>
        </w:rPr>
        <w:t xml:space="preserve">icitante </w:t>
      </w:r>
      <w:r w:rsidRPr="00D204B3">
        <w:rPr>
          <w:szCs w:val="20"/>
        </w:rPr>
        <w:t xml:space="preserve">de cada item discriminado, multiplicado pelos respectivos quantitativos, gerando o valor para </w:t>
      </w:r>
      <w:r>
        <w:rPr>
          <w:szCs w:val="20"/>
        </w:rPr>
        <w:t xml:space="preserve">execução </w:t>
      </w:r>
      <w:r w:rsidRPr="00D204B3">
        <w:rPr>
          <w:szCs w:val="20"/>
        </w:rPr>
        <w:t>do objeto que se pretende contratar</w:t>
      </w:r>
      <w:r>
        <w:rPr>
          <w:szCs w:val="20"/>
        </w:rPr>
        <w:t>.</w:t>
      </w:r>
    </w:p>
    <w:p w:rsidR="00E12F47" w:rsidRDefault="00E12F47" w:rsidP="00D204B3">
      <w:pPr>
        <w:rPr>
          <w:szCs w:val="20"/>
        </w:rPr>
      </w:pPr>
    </w:p>
    <w:p w:rsidR="00E12F47" w:rsidRDefault="00E12F47" w:rsidP="00D204B3">
      <w:pPr>
        <w:rPr>
          <w:szCs w:val="20"/>
        </w:rPr>
      </w:pPr>
      <w:r w:rsidRPr="00EB3286">
        <w:rPr>
          <w:b/>
          <w:szCs w:val="20"/>
        </w:rPr>
        <w:t>PLAN</w:t>
      </w:r>
      <w:r>
        <w:rPr>
          <w:b/>
          <w:szCs w:val="20"/>
        </w:rPr>
        <w:t>ILHA DE CUSTOS DO VALOR DO ORÇAMENTO DE REFERÊNCIA</w:t>
      </w:r>
      <w:r w:rsidRPr="00EB3286">
        <w:rPr>
          <w:szCs w:val="20"/>
        </w:rPr>
        <w:t xml:space="preserve"> – </w:t>
      </w:r>
      <w:r>
        <w:rPr>
          <w:szCs w:val="20"/>
        </w:rPr>
        <w:t>R</w:t>
      </w:r>
      <w:r w:rsidRPr="00D204B3">
        <w:rPr>
          <w:szCs w:val="20"/>
        </w:rPr>
        <w:t xml:space="preserve">epresenta o produto do somatório do preço de referência </w:t>
      </w:r>
      <w:r>
        <w:rPr>
          <w:szCs w:val="20"/>
        </w:rPr>
        <w:t xml:space="preserve">da </w:t>
      </w:r>
      <w:proofErr w:type="spellStart"/>
      <w:proofErr w:type="gramStart"/>
      <w:r w:rsidR="002C13B6">
        <w:rPr>
          <w:szCs w:val="20"/>
        </w:rPr>
        <w:t>CODEVASF</w:t>
      </w:r>
      <w:r w:rsidRPr="00D204B3">
        <w:rPr>
          <w:szCs w:val="20"/>
        </w:rPr>
        <w:t>de</w:t>
      </w:r>
      <w:proofErr w:type="spellEnd"/>
      <w:proofErr w:type="gramEnd"/>
      <w:r w:rsidRPr="00D204B3">
        <w:rPr>
          <w:szCs w:val="20"/>
        </w:rPr>
        <w:t xml:space="preserve"> cada item discriminado, multiplicado pelos respectivos quantitativos, gerando o valor estimado para a reserva orçamentária e o limite para o pagamento do objeto que se pretende contratar</w:t>
      </w:r>
      <w:r>
        <w:rPr>
          <w:szCs w:val="20"/>
        </w:rPr>
        <w:t>.</w:t>
      </w:r>
    </w:p>
    <w:p w:rsidR="00E12F47" w:rsidRDefault="00E12F47" w:rsidP="00D204B3">
      <w:pPr>
        <w:rPr>
          <w:szCs w:val="20"/>
        </w:rPr>
      </w:pPr>
    </w:p>
    <w:p w:rsidR="00E12F47" w:rsidRDefault="00E12F47" w:rsidP="00D204B3">
      <w:pPr>
        <w:rPr>
          <w:szCs w:val="20"/>
        </w:rPr>
      </w:pPr>
      <w:r w:rsidRPr="00EB3286">
        <w:rPr>
          <w:b/>
          <w:szCs w:val="20"/>
        </w:rPr>
        <w:t>PLANO DE TRABALHO</w:t>
      </w:r>
      <w:r w:rsidRPr="00EB3286">
        <w:rPr>
          <w:szCs w:val="20"/>
        </w:rPr>
        <w:t xml:space="preserve"> – Documento que descreve a </w:t>
      </w:r>
      <w:r w:rsidR="002C13B6" w:rsidRPr="00EB3286">
        <w:rPr>
          <w:szCs w:val="20"/>
        </w:rPr>
        <w:t>seqüência</w:t>
      </w:r>
      <w:r w:rsidRPr="00EB3286">
        <w:rPr>
          <w:szCs w:val="20"/>
        </w:rPr>
        <w:t xml:space="preserve"> de fases de uma tarefa ou a </w:t>
      </w:r>
      <w:r w:rsidR="002C13B6" w:rsidRPr="00EB3286">
        <w:rPr>
          <w:szCs w:val="20"/>
        </w:rPr>
        <w:t>seqüência</w:t>
      </w:r>
      <w:r w:rsidRPr="00EB3286">
        <w:rPr>
          <w:szCs w:val="20"/>
        </w:rPr>
        <w:t xml:space="preserve"> de tarefas referentes a determinado serviço ou trabalho, indicando, inclusive, o tempo a ser gasto em cada uma.</w:t>
      </w:r>
    </w:p>
    <w:p w:rsidR="00C214BE" w:rsidRPr="004F3B3C" w:rsidRDefault="00C214BE" w:rsidP="00C214BE">
      <w:pPr>
        <w:spacing w:before="100" w:beforeAutospacing="1"/>
        <w:rPr>
          <w:rFonts w:ascii="Times New Roman" w:eastAsia="Times New Roman" w:hAnsi="Times New Roman" w:cs="Times New Roman"/>
          <w:sz w:val="24"/>
          <w:lang w:eastAsia="pt-BR"/>
        </w:rPr>
      </w:pPr>
      <w:r w:rsidRPr="00391C91">
        <w:rPr>
          <w:b/>
          <w:szCs w:val="20"/>
        </w:rPr>
        <w:t xml:space="preserve">PLANO DE CONTROLE AMBIENTAL </w:t>
      </w:r>
      <w:r w:rsidR="005D00ED" w:rsidRPr="004F3B3C">
        <w:rPr>
          <w:b/>
        </w:rPr>
        <w:t>DOS SERVIÇOS</w:t>
      </w:r>
      <w:r w:rsidRPr="004F3B3C">
        <w:rPr>
          <w:b/>
          <w:szCs w:val="20"/>
        </w:rPr>
        <w:t xml:space="preserve">- </w:t>
      </w:r>
      <w:r w:rsidR="00D27280" w:rsidRPr="004F3B3C">
        <w:rPr>
          <w:szCs w:val="20"/>
        </w:rPr>
        <w:t>PC</w:t>
      </w:r>
      <w:r w:rsidRPr="004F3B3C">
        <w:rPr>
          <w:szCs w:val="20"/>
        </w:rPr>
        <w:t xml:space="preserve">AO consiste numa ferramenta de gerenciamento das atividades corriqueiras, relacionadas à questão ambiental, na fase de construção de </w:t>
      </w:r>
      <w:r w:rsidR="00A91F02" w:rsidRPr="004F3B3C">
        <w:t>serviços de engenharia</w:t>
      </w:r>
      <w:r w:rsidRPr="004F3B3C">
        <w:rPr>
          <w:szCs w:val="20"/>
        </w:rPr>
        <w:t xml:space="preserve">,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w:t>
      </w:r>
      <w:r w:rsidR="009864F8" w:rsidRPr="004F3B3C">
        <w:t xml:space="preserve">dos serviços </w:t>
      </w:r>
      <w:r w:rsidR="00A91F02" w:rsidRPr="004F3B3C">
        <w:t>de engenharia</w:t>
      </w:r>
      <w:r w:rsidRPr="004F3B3C">
        <w:rPr>
          <w:szCs w:val="20"/>
        </w:rPr>
        <w:t xml:space="preserve">. Esse plano tem como objetivo geral assegurar, de forma integrada, que as ações ambientais aqui propostas, sejam implantadas, de forma a zelar pela qualidade ambiental da </w:t>
      </w:r>
      <w:r w:rsidR="005D00ED" w:rsidRPr="004F3B3C">
        <w:t xml:space="preserve">dos serviços </w:t>
      </w:r>
      <w:r w:rsidR="00A91F02" w:rsidRPr="004F3B3C">
        <w:t>de engenharia</w:t>
      </w:r>
      <w:r w:rsidRPr="004F3B3C">
        <w:rPr>
          <w:szCs w:val="20"/>
        </w:rPr>
        <w:t>. Como objetivos específicos:</w:t>
      </w:r>
    </w:p>
    <w:p w:rsidR="00C214BE" w:rsidRPr="004F3B3C" w:rsidRDefault="00C214BE" w:rsidP="009017F5">
      <w:pPr>
        <w:pStyle w:val="PargrafodaLista"/>
        <w:numPr>
          <w:ilvl w:val="0"/>
          <w:numId w:val="20"/>
        </w:numPr>
        <w:rPr>
          <w:rFonts w:eastAsia="Times New Roman"/>
          <w:szCs w:val="20"/>
          <w:lang w:eastAsia="pt-BR"/>
        </w:rPr>
      </w:pPr>
      <w:r w:rsidRPr="004F3B3C">
        <w:rPr>
          <w:rFonts w:eastAsia="Times New Roman"/>
          <w:szCs w:val="20"/>
          <w:lang w:eastAsia="pt-BR"/>
        </w:rPr>
        <w:t xml:space="preserve">Executar </w:t>
      </w:r>
      <w:r w:rsidR="005D00ED" w:rsidRPr="004F3B3C">
        <w:t xml:space="preserve">os serviços </w:t>
      </w:r>
      <w:r w:rsidR="00A91F02" w:rsidRPr="004F3B3C">
        <w:t>de engenharia</w:t>
      </w:r>
      <w:r w:rsidRPr="004F3B3C">
        <w:rPr>
          <w:rFonts w:eastAsia="Times New Roman"/>
          <w:szCs w:val="20"/>
          <w:lang w:eastAsia="pt-BR"/>
        </w:rPr>
        <w:t xml:space="preserve"> de forma a evitar, controlar e/ou mitigar os impactos ambientais associados; </w:t>
      </w:r>
    </w:p>
    <w:p w:rsidR="00C214BE" w:rsidRPr="004F3B3C" w:rsidRDefault="00C214BE" w:rsidP="009017F5">
      <w:pPr>
        <w:pStyle w:val="PargrafodaLista"/>
        <w:numPr>
          <w:ilvl w:val="0"/>
          <w:numId w:val="20"/>
        </w:numPr>
        <w:rPr>
          <w:rFonts w:eastAsia="Times New Roman"/>
          <w:szCs w:val="20"/>
          <w:lang w:eastAsia="pt-BR"/>
        </w:rPr>
      </w:pPr>
      <w:r w:rsidRPr="004F3B3C">
        <w:rPr>
          <w:rFonts w:eastAsia="Times New Roman"/>
          <w:szCs w:val="20"/>
          <w:lang w:eastAsia="pt-BR"/>
        </w:rPr>
        <w:t xml:space="preserve">Estabelecer diretrizes que zelem pela melhor qualidade ambiental possível da água, solo, ar, fauna e flora; </w:t>
      </w:r>
    </w:p>
    <w:p w:rsidR="00C214BE" w:rsidRPr="004F3B3C" w:rsidRDefault="00C214BE" w:rsidP="009017F5">
      <w:pPr>
        <w:pStyle w:val="PargrafodaLista"/>
        <w:numPr>
          <w:ilvl w:val="0"/>
          <w:numId w:val="20"/>
        </w:numPr>
        <w:jc w:val="left"/>
        <w:rPr>
          <w:rFonts w:eastAsia="Times New Roman"/>
          <w:szCs w:val="20"/>
          <w:lang w:eastAsia="pt-BR"/>
        </w:rPr>
      </w:pPr>
      <w:r w:rsidRPr="004F3B3C">
        <w:rPr>
          <w:rFonts w:eastAsia="Times New Roman"/>
          <w:szCs w:val="20"/>
          <w:lang w:eastAsia="pt-BR"/>
        </w:rPr>
        <w:t xml:space="preserve">Executar trabalhos de educação ambiental junto aos operários </w:t>
      </w:r>
      <w:r w:rsidR="005D00ED" w:rsidRPr="004F3B3C">
        <w:t xml:space="preserve">dos serviços </w:t>
      </w:r>
      <w:r w:rsidR="00A91F02" w:rsidRPr="004F3B3C">
        <w:t>de engenharia</w:t>
      </w:r>
      <w:r w:rsidRPr="004F3B3C">
        <w:rPr>
          <w:rFonts w:eastAsia="Times New Roman"/>
          <w:szCs w:val="20"/>
          <w:lang w:eastAsia="pt-BR"/>
        </w:rPr>
        <w:t xml:space="preserve">; </w:t>
      </w:r>
    </w:p>
    <w:p w:rsidR="00C214BE" w:rsidRPr="004F3B3C" w:rsidRDefault="00C214BE" w:rsidP="009017F5">
      <w:pPr>
        <w:pStyle w:val="PargrafodaLista"/>
        <w:numPr>
          <w:ilvl w:val="0"/>
          <w:numId w:val="20"/>
        </w:numPr>
        <w:rPr>
          <w:rFonts w:eastAsia="Times New Roman"/>
          <w:szCs w:val="20"/>
          <w:lang w:eastAsia="pt-BR"/>
        </w:rPr>
      </w:pPr>
      <w:r w:rsidRPr="004F3B3C">
        <w:rPr>
          <w:rFonts w:eastAsia="Times New Roman"/>
          <w:szCs w:val="20"/>
          <w:lang w:eastAsia="pt-BR"/>
        </w:rPr>
        <w:t xml:space="preserve">Evitar interferências negativas, das atividades </w:t>
      </w:r>
      <w:r w:rsidR="005D00ED" w:rsidRPr="004F3B3C">
        <w:t xml:space="preserve">dos serviços </w:t>
      </w:r>
      <w:r w:rsidR="00A91F02" w:rsidRPr="004F3B3C">
        <w:t xml:space="preserve">de </w:t>
      </w:r>
      <w:proofErr w:type="spellStart"/>
      <w:r w:rsidR="00A91F02" w:rsidRPr="004F3B3C">
        <w:t>engenharia</w:t>
      </w:r>
      <w:r w:rsidRPr="004F3B3C">
        <w:rPr>
          <w:rFonts w:eastAsia="Times New Roman"/>
          <w:szCs w:val="20"/>
          <w:lang w:eastAsia="pt-BR"/>
        </w:rPr>
        <w:t>e</w:t>
      </w:r>
      <w:proofErr w:type="spellEnd"/>
      <w:r w:rsidRPr="004F3B3C">
        <w:rPr>
          <w:rFonts w:eastAsia="Times New Roman"/>
          <w:szCs w:val="20"/>
          <w:lang w:eastAsia="pt-BR"/>
        </w:rPr>
        <w:t xml:space="preserve"> dos seus colaboradores sobre o meio ambiente. </w:t>
      </w:r>
    </w:p>
    <w:p w:rsidR="00E12F47" w:rsidRPr="004F3B3C" w:rsidRDefault="00E12F47" w:rsidP="00D204B3">
      <w:pPr>
        <w:rPr>
          <w:szCs w:val="20"/>
        </w:rPr>
      </w:pPr>
    </w:p>
    <w:p w:rsidR="00E12F47" w:rsidRPr="004F3B3C" w:rsidRDefault="00E12F47" w:rsidP="00A34AF6">
      <w:pPr>
        <w:rPr>
          <w:szCs w:val="20"/>
        </w:rPr>
      </w:pPr>
      <w:r w:rsidRPr="004F3B3C">
        <w:rPr>
          <w:b/>
          <w:szCs w:val="20"/>
        </w:rPr>
        <w:t>PROJETO BÁSICO</w:t>
      </w:r>
      <w:r w:rsidRPr="004F3B3C">
        <w:rPr>
          <w:szCs w:val="20"/>
        </w:rPr>
        <w:t xml:space="preserve"> – Conjunto de elementos necessários e suficientes, com nível de precisão adequado, para caracterizar </w:t>
      </w:r>
      <w:r w:rsidR="00B62D04" w:rsidRPr="004F3B3C">
        <w:rPr>
          <w:szCs w:val="20"/>
        </w:rPr>
        <w:t>o</w:t>
      </w:r>
      <w:r w:rsidRPr="004F3B3C">
        <w:rPr>
          <w:szCs w:val="20"/>
        </w:rPr>
        <w:t xml:space="preserve">s serviços </w:t>
      </w:r>
      <w:r w:rsidR="00A91F02" w:rsidRPr="004F3B3C">
        <w:rPr>
          <w:szCs w:val="20"/>
        </w:rPr>
        <w:t xml:space="preserve">de engenharia </w:t>
      </w:r>
      <w:r w:rsidRPr="004F3B3C">
        <w:rPr>
          <w:szCs w:val="20"/>
        </w:rPr>
        <w:t xml:space="preserve">objeto da licitação, elaborado com base nas indicações dos estudos técnicos preliminares, que assegurem a viabilidade técnica e o adequado tratamento do impacto ambiental do empreendimento, e que possibilite a avaliação do custo </w:t>
      </w:r>
      <w:r w:rsidR="005D00ED" w:rsidRPr="004F3B3C">
        <w:t xml:space="preserve">dos serviços </w:t>
      </w:r>
      <w:r w:rsidRPr="004F3B3C">
        <w:rPr>
          <w:szCs w:val="20"/>
        </w:rPr>
        <w:t>e a definição dos métodos e do prazo de execução, devendo conter os seguintes elementos:</w:t>
      </w:r>
    </w:p>
    <w:p w:rsidR="00E12F47" w:rsidRPr="004F3B3C" w:rsidRDefault="00E12F47" w:rsidP="00A34AF6">
      <w:pPr>
        <w:rPr>
          <w:szCs w:val="20"/>
        </w:rPr>
      </w:pPr>
    </w:p>
    <w:p w:rsidR="00E12F47" w:rsidRPr="004F3B3C" w:rsidRDefault="00E12F47" w:rsidP="009017F5">
      <w:pPr>
        <w:pStyle w:val="PargrafodaLista"/>
        <w:numPr>
          <w:ilvl w:val="0"/>
          <w:numId w:val="15"/>
        </w:numPr>
      </w:pPr>
      <w:r w:rsidRPr="004F3B3C">
        <w:t xml:space="preserve">Desenvolvimento da solução escolhida de </w:t>
      </w:r>
      <w:r w:rsidR="005D00ED" w:rsidRPr="004F3B3C">
        <w:t xml:space="preserve">forma a fornecer visão </w:t>
      </w:r>
      <w:proofErr w:type="spellStart"/>
      <w:r w:rsidR="005D00ED" w:rsidRPr="004F3B3C">
        <w:t>globaldos</w:t>
      </w:r>
      <w:proofErr w:type="spellEnd"/>
      <w:r w:rsidR="005D00ED" w:rsidRPr="004F3B3C">
        <w:t xml:space="preserve"> serviços </w:t>
      </w:r>
      <w:r w:rsidR="00A91F02" w:rsidRPr="004F3B3C">
        <w:t xml:space="preserve">de </w:t>
      </w:r>
      <w:proofErr w:type="spellStart"/>
      <w:r w:rsidR="00A91F02" w:rsidRPr="004F3B3C">
        <w:t>engenharia</w:t>
      </w:r>
      <w:r w:rsidRPr="004F3B3C">
        <w:t>e</w:t>
      </w:r>
      <w:proofErr w:type="spellEnd"/>
      <w:r w:rsidRPr="004F3B3C">
        <w:t xml:space="preserve"> identificar todos os seus elementos constitutivos com clareza;</w:t>
      </w:r>
    </w:p>
    <w:p w:rsidR="00E12F47" w:rsidRPr="004F3B3C" w:rsidRDefault="00E12F47" w:rsidP="009017F5">
      <w:pPr>
        <w:pStyle w:val="PargrafodaLista"/>
        <w:numPr>
          <w:ilvl w:val="0"/>
          <w:numId w:val="15"/>
        </w:numPr>
      </w:pPr>
      <w:r w:rsidRPr="004F3B3C">
        <w:t>Soluções técnicas globais e localizadas, suficientemente detalhadas, de forma a minimizar a necessidade de reformulação ou de variantes durante as fases de elaboração do projeto executivo e de realização d</w:t>
      </w:r>
      <w:r w:rsidR="00B62D04" w:rsidRPr="004F3B3C">
        <w:t>o</w:t>
      </w:r>
      <w:r w:rsidRPr="004F3B3C">
        <w:t xml:space="preserve">s </w:t>
      </w:r>
      <w:r w:rsidR="00A91F02" w:rsidRPr="004F3B3C">
        <w:t>serviços de engenharia</w:t>
      </w:r>
      <w:r w:rsidRPr="004F3B3C">
        <w:t xml:space="preserve"> e montagem;</w:t>
      </w:r>
    </w:p>
    <w:p w:rsidR="00E12F47" w:rsidRPr="00464AC1" w:rsidRDefault="00E12F47" w:rsidP="009017F5">
      <w:pPr>
        <w:pStyle w:val="PargrafodaLista"/>
        <w:numPr>
          <w:ilvl w:val="0"/>
          <w:numId w:val="15"/>
        </w:numPr>
      </w:pPr>
      <w:r w:rsidRPr="004F3B3C">
        <w:t xml:space="preserve">Identificação dos tipos de serviços a executar e de materiais e equipamentos a incorporar </w:t>
      </w:r>
      <w:r w:rsidR="005D00ED" w:rsidRPr="004F3B3C">
        <w:t>dos serviços</w:t>
      </w:r>
      <w:r w:rsidR="00A91F02" w:rsidRPr="004F3B3C">
        <w:t xml:space="preserve"> de engenharia</w:t>
      </w:r>
      <w:r w:rsidRPr="004F3B3C">
        <w:t>, bem como suas especificações que assegurem</w:t>
      </w:r>
      <w:r w:rsidRPr="00464AC1">
        <w:t xml:space="preserve"> os melhores resultados para o empreendimento, sem frustrar o caráter competitivo para a sua execução;</w:t>
      </w:r>
    </w:p>
    <w:p w:rsidR="00E12F47" w:rsidRPr="004F3B3C" w:rsidRDefault="00E12F47" w:rsidP="009017F5">
      <w:pPr>
        <w:pStyle w:val="PargrafodaLista"/>
        <w:numPr>
          <w:ilvl w:val="0"/>
          <w:numId w:val="15"/>
        </w:numPr>
      </w:pPr>
      <w:r w:rsidRPr="004F3B3C">
        <w:t xml:space="preserve">Informações que possibilitem o estudo e a dedução de métodos construtivos, instalações provisórias e condições organizacionais para </w:t>
      </w:r>
      <w:r w:rsidR="005D00ED" w:rsidRPr="004F3B3C">
        <w:t xml:space="preserve">os serviços </w:t>
      </w:r>
      <w:r w:rsidR="00A91F02" w:rsidRPr="004F3B3C">
        <w:t>de engenharia</w:t>
      </w:r>
      <w:r w:rsidRPr="004F3B3C">
        <w:t>, sem frustrar o caráter competitivo para a sua execução;</w:t>
      </w:r>
    </w:p>
    <w:p w:rsidR="00E12F47" w:rsidRPr="004F3B3C" w:rsidRDefault="00E12F47" w:rsidP="009017F5">
      <w:pPr>
        <w:pStyle w:val="PargrafodaLista"/>
        <w:numPr>
          <w:ilvl w:val="0"/>
          <w:numId w:val="15"/>
        </w:numPr>
      </w:pPr>
      <w:r w:rsidRPr="004F3B3C">
        <w:t xml:space="preserve">Subsídios para montagem do plano de licitação e gestão </w:t>
      </w:r>
      <w:r w:rsidR="005D00ED" w:rsidRPr="004F3B3C">
        <w:t xml:space="preserve">dos serviços </w:t>
      </w:r>
      <w:r w:rsidR="00A91F02" w:rsidRPr="004F3B3C">
        <w:t>de engenharia</w:t>
      </w:r>
      <w:r w:rsidRPr="004F3B3C">
        <w:t>, compreendendo a sua programação, a estratégia de suprimentos, as normas de fiscalização e outros dados necessários em cada caso;</w:t>
      </w:r>
    </w:p>
    <w:p w:rsidR="00E12F47" w:rsidRDefault="00E12F47" w:rsidP="00A34AF6">
      <w:pPr>
        <w:rPr>
          <w:szCs w:val="20"/>
        </w:rPr>
      </w:pPr>
    </w:p>
    <w:p w:rsidR="00E12F47" w:rsidRDefault="00E12F47" w:rsidP="00A34AF6">
      <w:pPr>
        <w:rPr>
          <w:szCs w:val="20"/>
        </w:rPr>
      </w:pPr>
      <w:r w:rsidRPr="00EB3286">
        <w:rPr>
          <w:b/>
          <w:szCs w:val="20"/>
        </w:rPr>
        <w:t>PROJETO EXECUTIVO</w:t>
      </w:r>
      <w:r w:rsidRPr="00EB3286">
        <w:rPr>
          <w:szCs w:val="20"/>
        </w:rPr>
        <w:t xml:space="preserve"> – </w:t>
      </w:r>
      <w:r>
        <w:rPr>
          <w:szCs w:val="20"/>
        </w:rPr>
        <w:t>É o</w:t>
      </w:r>
      <w:r w:rsidRPr="00464AC1">
        <w:rPr>
          <w:szCs w:val="20"/>
        </w:rPr>
        <w:t xml:space="preserve"> conjunto dos elementos necessários e suficientes à execução completa </w:t>
      </w:r>
      <w:r w:rsidR="005D00ED" w:rsidRPr="004F3B3C">
        <w:t xml:space="preserve">dos serviços </w:t>
      </w:r>
      <w:r w:rsidR="00A91F02" w:rsidRPr="004F3B3C">
        <w:t>de</w:t>
      </w:r>
      <w:r w:rsidR="00A91F02">
        <w:t xml:space="preserve"> engenharia</w:t>
      </w:r>
      <w:r w:rsidRPr="00464AC1">
        <w:rPr>
          <w:szCs w:val="20"/>
        </w:rPr>
        <w:t xml:space="preserve">, de acordo com as normas pertinentes da Associação Brasileira de Normas Técnicas </w:t>
      </w:r>
      <w:r>
        <w:rPr>
          <w:szCs w:val="20"/>
        </w:rPr>
        <w:t>–</w:t>
      </w:r>
      <w:r w:rsidRPr="00464AC1">
        <w:rPr>
          <w:szCs w:val="20"/>
        </w:rPr>
        <w:t xml:space="preserve"> ABNT</w:t>
      </w:r>
      <w:r>
        <w:rPr>
          <w:szCs w:val="20"/>
        </w:rPr>
        <w:t>.</w:t>
      </w:r>
    </w:p>
    <w:p w:rsidR="00E12F47" w:rsidRDefault="00E12F47" w:rsidP="00A34AF6">
      <w:pPr>
        <w:rPr>
          <w:szCs w:val="20"/>
        </w:rPr>
      </w:pPr>
    </w:p>
    <w:p w:rsidR="00E12F47" w:rsidRDefault="00E12F47" w:rsidP="00A34AF6">
      <w:pPr>
        <w:rPr>
          <w:szCs w:val="20"/>
        </w:rPr>
      </w:pPr>
      <w:r w:rsidRPr="00EB3286">
        <w:rPr>
          <w:b/>
          <w:szCs w:val="20"/>
        </w:rPr>
        <w:t>PROPOSTA FINANCEIRA</w:t>
      </w:r>
      <w:r w:rsidRPr="00EB3286">
        <w:rPr>
          <w:szCs w:val="20"/>
        </w:rPr>
        <w:t xml:space="preserve"> – Documento gerado pelo licitante que estabelece o valor unitário e global dos serviços e fornecimentos, apresentando todo o detalhamento dos custos e preços unitários propostos.</w:t>
      </w:r>
    </w:p>
    <w:p w:rsidR="00E12F47" w:rsidRDefault="00E12F47" w:rsidP="00A34AF6">
      <w:pPr>
        <w:rPr>
          <w:szCs w:val="20"/>
        </w:rPr>
      </w:pPr>
    </w:p>
    <w:p w:rsidR="00E12F47" w:rsidRDefault="00E12F47" w:rsidP="00A34AF6">
      <w:pPr>
        <w:rPr>
          <w:szCs w:val="20"/>
        </w:rPr>
      </w:pPr>
      <w:r w:rsidRPr="00EB3286">
        <w:rPr>
          <w:b/>
          <w:szCs w:val="20"/>
        </w:rPr>
        <w:t>REUNIÃO DE PARTIDA</w:t>
      </w:r>
      <w:r w:rsidRPr="00EB3286">
        <w:rPr>
          <w:szCs w:val="20"/>
        </w:rPr>
        <w:t xml:space="preserve"> – Reunião com as partes envolvidas, </w:t>
      </w:r>
      <w:r>
        <w:rPr>
          <w:szCs w:val="20"/>
        </w:rPr>
        <w:t>CONTRATADA</w:t>
      </w:r>
      <w:r w:rsidRPr="00EB3286">
        <w:rPr>
          <w:szCs w:val="20"/>
        </w:rPr>
        <w:t xml:space="preserve">, </w:t>
      </w:r>
      <w:r w:rsidR="002C13B6">
        <w:rPr>
          <w:szCs w:val="20"/>
        </w:rPr>
        <w:t>CODEVASF</w:t>
      </w:r>
      <w:r w:rsidRPr="00EB3286">
        <w:rPr>
          <w:szCs w:val="20"/>
        </w:rPr>
        <w:t xml:space="preserve"> e fornecedores, onde se define todos os detalhes do plano de trabalho e dá-se o “start </w:t>
      </w:r>
      <w:proofErr w:type="spellStart"/>
      <w:r w:rsidRPr="00EB3286">
        <w:rPr>
          <w:szCs w:val="20"/>
        </w:rPr>
        <w:t>up</w:t>
      </w:r>
      <w:proofErr w:type="spellEnd"/>
      <w:r w:rsidRPr="00EB3286">
        <w:rPr>
          <w:szCs w:val="20"/>
        </w:rPr>
        <w:t>” da execução d</w:t>
      </w:r>
      <w:r w:rsidR="003B74C1">
        <w:rPr>
          <w:szCs w:val="20"/>
        </w:rPr>
        <w:t>o</w:t>
      </w:r>
      <w:r w:rsidRPr="00EB3286">
        <w:rPr>
          <w:szCs w:val="20"/>
        </w:rPr>
        <w:t xml:space="preserve">s </w:t>
      </w:r>
      <w:r w:rsidR="00017E28">
        <w:t>serviços de engenharia</w:t>
      </w:r>
      <w:r w:rsidRPr="00EB3286">
        <w:rPr>
          <w:szCs w:val="20"/>
        </w:rPr>
        <w:t>.</w:t>
      </w:r>
    </w:p>
    <w:p w:rsidR="005F5516" w:rsidRPr="00EB3286" w:rsidRDefault="005F5516" w:rsidP="00A34AF6">
      <w:pPr>
        <w:rPr>
          <w:szCs w:val="20"/>
        </w:rPr>
      </w:pPr>
    </w:p>
    <w:p w:rsidR="00E12F47" w:rsidRDefault="00E12F47" w:rsidP="00A34AF6">
      <w:pPr>
        <w:rPr>
          <w:szCs w:val="20"/>
        </w:rPr>
      </w:pPr>
      <w:r w:rsidRPr="00220A14">
        <w:rPr>
          <w:b/>
          <w:szCs w:val="20"/>
        </w:rPr>
        <w:t>SUPERINTENDÊNCIA REGIONAL</w:t>
      </w:r>
      <w:r w:rsidRPr="00220A14">
        <w:rPr>
          <w:szCs w:val="20"/>
        </w:rPr>
        <w:t xml:space="preserve"> – Unidade executiva descentralizada subordinada diretamente à presidência da </w:t>
      </w:r>
      <w:r w:rsidR="002C13B6">
        <w:rPr>
          <w:szCs w:val="20"/>
        </w:rPr>
        <w:t>CODEVASF</w:t>
      </w:r>
      <w:r>
        <w:rPr>
          <w:szCs w:val="20"/>
        </w:rPr>
        <w:t>,</w:t>
      </w:r>
      <w:r w:rsidRPr="00220A14">
        <w:rPr>
          <w:szCs w:val="20"/>
        </w:rPr>
        <w:t xml:space="preserve"> situada em </w:t>
      </w:r>
      <w:r w:rsidR="0073339D" w:rsidRPr="00B67FDF">
        <w:rPr>
          <w:szCs w:val="20"/>
        </w:rPr>
        <w:t>B</w:t>
      </w:r>
      <w:r w:rsidR="00361719">
        <w:rPr>
          <w:szCs w:val="20"/>
        </w:rPr>
        <w:t>om Jesus da Lapa</w:t>
      </w:r>
      <w:r w:rsidR="0073339D" w:rsidRPr="00B67FDF">
        <w:rPr>
          <w:szCs w:val="20"/>
        </w:rPr>
        <w:t>/</w:t>
      </w:r>
      <w:proofErr w:type="spellStart"/>
      <w:proofErr w:type="gramStart"/>
      <w:r w:rsidR="00361719">
        <w:rPr>
          <w:szCs w:val="20"/>
        </w:rPr>
        <w:t>Ba</w:t>
      </w:r>
      <w:proofErr w:type="spellEnd"/>
      <w:proofErr w:type="gramEnd"/>
      <w:r w:rsidR="0073339D" w:rsidRPr="00B67FDF">
        <w:rPr>
          <w:szCs w:val="20"/>
        </w:rPr>
        <w:t xml:space="preserve">, </w:t>
      </w:r>
      <w:r w:rsidRPr="00B67FDF">
        <w:rPr>
          <w:szCs w:val="20"/>
        </w:rPr>
        <w:t xml:space="preserve">em </w:t>
      </w:r>
      <w:r w:rsidRPr="00220A14">
        <w:rPr>
          <w:szCs w:val="20"/>
        </w:rPr>
        <w:t>cuja jurisdição territorial localiza</w:t>
      </w:r>
      <w:r>
        <w:rPr>
          <w:szCs w:val="20"/>
        </w:rPr>
        <w:t>m</w:t>
      </w:r>
      <w:r w:rsidRPr="00220A14">
        <w:rPr>
          <w:szCs w:val="20"/>
        </w:rPr>
        <w:t xml:space="preserve">-se os serviços </w:t>
      </w:r>
      <w:r>
        <w:rPr>
          <w:szCs w:val="20"/>
        </w:rPr>
        <w:t xml:space="preserve">de engenharia </w:t>
      </w:r>
      <w:r w:rsidRPr="00220A14">
        <w:rPr>
          <w:szCs w:val="20"/>
        </w:rPr>
        <w:t>objeto deste Termo de Referência.</w:t>
      </w:r>
    </w:p>
    <w:p w:rsidR="00C3224F" w:rsidRDefault="00C3224F" w:rsidP="00A34AF6">
      <w:pPr>
        <w:rPr>
          <w:szCs w:val="20"/>
        </w:rPr>
      </w:pPr>
    </w:p>
    <w:p w:rsidR="00C3224F" w:rsidRDefault="00C3224F" w:rsidP="00A34AF6">
      <w:pPr>
        <w:rPr>
          <w:szCs w:val="20"/>
        </w:rPr>
      </w:pPr>
      <w:r w:rsidRPr="00C3224F">
        <w:rPr>
          <w:b/>
          <w:szCs w:val="20"/>
        </w:rPr>
        <w:t>MATRIZ DE RISCO</w:t>
      </w:r>
      <w:r w:rsidR="00D53132">
        <w:rPr>
          <w:szCs w:val="20"/>
        </w:rPr>
        <w:t xml:space="preserve">– </w:t>
      </w:r>
      <w:r w:rsidR="00D53132" w:rsidRPr="00D53132">
        <w:rPr>
          <w:szCs w:val="20"/>
        </w:rPr>
        <w:t>A matriz de risco, que está apresentada no Anexo VIII deste Termo de Referência, representa o instrumento que define a repartição objetiva de responsabilidades advindas de eventos supervenientes à contratação. Suas informações são indispensáveis para a caracterização do objeto e das respectivas responsabilidades contratuais, bem como são essenciais para o dimensionamento das propostas por partes dos licitantes.</w:t>
      </w:r>
    </w:p>
    <w:p w:rsidR="005F5516" w:rsidRPr="00220A14" w:rsidRDefault="005F5516" w:rsidP="00A34AF6">
      <w:pPr>
        <w:rPr>
          <w:szCs w:val="20"/>
        </w:rPr>
      </w:pPr>
    </w:p>
    <w:p w:rsidR="00E12F47" w:rsidRPr="00220A14" w:rsidRDefault="00E12F47" w:rsidP="00A34AF6">
      <w:pPr>
        <w:rPr>
          <w:szCs w:val="20"/>
        </w:rPr>
      </w:pPr>
      <w:r w:rsidRPr="00220A14">
        <w:rPr>
          <w:b/>
          <w:szCs w:val="20"/>
        </w:rPr>
        <w:t>TERMO DE REFERÊNCIA</w:t>
      </w:r>
      <w:r>
        <w:rPr>
          <w:szCs w:val="20"/>
        </w:rPr>
        <w:t>–</w:t>
      </w:r>
      <w:r w:rsidRPr="00220A14">
        <w:rPr>
          <w:szCs w:val="20"/>
        </w:rPr>
        <w:t xml:space="preserve"> Conjunto de elementos necessários e suficientes, com nível de precisão adequado, para caracterizar os serviços a serem contratados ou os bens a serem fornecidos</w:t>
      </w:r>
      <w:r w:rsidR="00776F3A">
        <w:rPr>
          <w:szCs w:val="20"/>
        </w:rPr>
        <w:t>.</w:t>
      </w:r>
    </w:p>
    <w:p w:rsidR="00A34AF6" w:rsidRDefault="00A34AF6" w:rsidP="00A34AF6">
      <w:pPr>
        <w:rPr>
          <w:szCs w:val="20"/>
        </w:rPr>
      </w:pPr>
    </w:p>
    <w:p w:rsidR="00E12F47" w:rsidRPr="00F225A9" w:rsidRDefault="00E12F47" w:rsidP="00F225A9"/>
    <w:p w:rsidR="003121D7" w:rsidRDefault="003121D7" w:rsidP="00713A43">
      <w:pPr>
        <w:pStyle w:val="Ttulo1"/>
      </w:pPr>
      <w:bookmarkStart w:id="6" w:name="_Toc18400271"/>
      <w:r w:rsidRPr="00EB3286">
        <w:t xml:space="preserve">REGIME DE </w:t>
      </w:r>
      <w:r w:rsidR="008C07AD">
        <w:t>EXECUÇÃO</w:t>
      </w:r>
      <w:r w:rsidR="0018698C">
        <w:t xml:space="preserve">, </w:t>
      </w:r>
      <w:r w:rsidR="00DA14FA" w:rsidRPr="007F4614">
        <w:t>VALOR</w:t>
      </w:r>
      <w:r w:rsidR="00EC742C" w:rsidRPr="007F4614">
        <w:t>ESTIMADO</w:t>
      </w:r>
      <w:r w:rsidR="00EC742C">
        <w:t xml:space="preserve"> E </w:t>
      </w:r>
      <w:r w:rsidRPr="00EB3286">
        <w:t>CRITÉRIO DE JULGAMENTO</w:t>
      </w:r>
      <w:bookmarkEnd w:id="5"/>
      <w:r w:rsidR="008C07AD">
        <w:t>.</w:t>
      </w:r>
      <w:bookmarkEnd w:id="6"/>
    </w:p>
    <w:p w:rsidR="008C07AD" w:rsidRPr="008C07AD" w:rsidRDefault="008C07AD" w:rsidP="008C07AD"/>
    <w:p w:rsidR="002F5E82" w:rsidRPr="002C13B6" w:rsidRDefault="003121D7" w:rsidP="009017F5">
      <w:pPr>
        <w:pStyle w:val="Ttulo2"/>
        <w:numPr>
          <w:ilvl w:val="1"/>
          <w:numId w:val="24"/>
        </w:numPr>
        <w:tabs>
          <w:tab w:val="left" w:pos="0"/>
        </w:tabs>
        <w:spacing w:line="276" w:lineRule="auto"/>
        <w:rPr>
          <w:rFonts w:eastAsia="Times New Roman"/>
          <w:color w:val="FF0000"/>
          <w:sz w:val="18"/>
          <w:szCs w:val="18"/>
          <w:u w:val="single"/>
          <w:lang w:eastAsia="pt-BR"/>
        </w:rPr>
      </w:pPr>
      <w:r w:rsidRPr="002C13B6">
        <w:rPr>
          <w:b/>
          <w:u w:val="single"/>
        </w:rPr>
        <w:t xml:space="preserve">Regime de </w:t>
      </w:r>
      <w:proofErr w:type="gramStart"/>
      <w:r w:rsidRPr="002C13B6">
        <w:rPr>
          <w:b/>
          <w:u w:val="single"/>
        </w:rPr>
        <w:t>Execução:</w:t>
      </w:r>
      <w:proofErr w:type="gramEnd"/>
      <w:r w:rsidR="0073339D" w:rsidRPr="002C13B6">
        <w:rPr>
          <w:b/>
          <w:u w:val="single"/>
        </w:rPr>
        <w:t>Empreitada por Preço Unitário.</w:t>
      </w:r>
    </w:p>
    <w:p w:rsidR="00DF2380" w:rsidRPr="002C13B6" w:rsidRDefault="00DF2380" w:rsidP="00713A43">
      <w:pPr>
        <w:pStyle w:val="Ttulo2"/>
        <w:numPr>
          <w:ilvl w:val="0"/>
          <w:numId w:val="0"/>
        </w:numPr>
        <w:ind w:left="709"/>
        <w:rPr>
          <w:color w:val="FF0000"/>
          <w:u w:val="single"/>
        </w:rPr>
      </w:pPr>
    </w:p>
    <w:p w:rsidR="002A2F86" w:rsidRPr="00B85A33" w:rsidRDefault="00BB23E2" w:rsidP="009017F5">
      <w:pPr>
        <w:pStyle w:val="Ttulo2"/>
        <w:numPr>
          <w:ilvl w:val="1"/>
          <w:numId w:val="24"/>
        </w:numPr>
        <w:rPr>
          <w:u w:val="single"/>
          <w:lang w:eastAsia="pt-BR"/>
        </w:rPr>
      </w:pPr>
      <w:r w:rsidRPr="00B85A33">
        <w:rPr>
          <w:b/>
          <w:u w:val="single"/>
        </w:rPr>
        <w:t xml:space="preserve">Valor </w:t>
      </w:r>
      <w:r w:rsidR="003E4B80" w:rsidRPr="00B85A33">
        <w:rPr>
          <w:b/>
          <w:u w:val="single"/>
        </w:rPr>
        <w:t>E</w:t>
      </w:r>
      <w:r w:rsidR="003121D7" w:rsidRPr="00B85A33">
        <w:rPr>
          <w:b/>
          <w:u w:val="single"/>
        </w:rPr>
        <w:t>stimado</w:t>
      </w:r>
      <w:r w:rsidR="003121D7" w:rsidRPr="00B85A33">
        <w:rPr>
          <w:u w:val="single"/>
        </w:rPr>
        <w:t xml:space="preserve">: </w:t>
      </w:r>
      <w:r w:rsidR="0073339D" w:rsidRPr="003B51E0">
        <w:rPr>
          <w:b/>
          <w:u w:val="single"/>
          <w:lang w:eastAsia="pt-BR"/>
        </w:rPr>
        <w:t xml:space="preserve">R$ </w:t>
      </w:r>
      <w:r w:rsidR="00CF5348" w:rsidRPr="003B51E0">
        <w:rPr>
          <w:b/>
          <w:u w:val="single"/>
          <w:lang w:eastAsia="pt-BR"/>
        </w:rPr>
        <w:t>34</w:t>
      </w:r>
      <w:r w:rsidR="00015809" w:rsidRPr="003B51E0">
        <w:rPr>
          <w:b/>
          <w:u w:val="single"/>
          <w:lang w:eastAsia="pt-BR"/>
        </w:rPr>
        <w:t>.</w:t>
      </w:r>
      <w:r w:rsidR="00CF5348" w:rsidRPr="003B51E0">
        <w:rPr>
          <w:b/>
          <w:u w:val="single"/>
          <w:lang w:eastAsia="pt-BR"/>
        </w:rPr>
        <w:t>364</w:t>
      </w:r>
      <w:r w:rsidR="00015809" w:rsidRPr="003B51E0">
        <w:rPr>
          <w:b/>
          <w:u w:val="single"/>
          <w:lang w:eastAsia="pt-BR"/>
        </w:rPr>
        <w:t>.</w:t>
      </w:r>
      <w:r w:rsidR="008C64A2" w:rsidRPr="003B51E0">
        <w:rPr>
          <w:b/>
          <w:u w:val="single"/>
          <w:lang w:eastAsia="pt-BR"/>
        </w:rPr>
        <w:t>1</w:t>
      </w:r>
      <w:r w:rsidR="00CF5348" w:rsidRPr="003B51E0">
        <w:rPr>
          <w:b/>
          <w:u w:val="single"/>
          <w:lang w:eastAsia="pt-BR"/>
        </w:rPr>
        <w:t>54</w:t>
      </w:r>
      <w:r w:rsidR="003E4B80" w:rsidRPr="003B51E0">
        <w:rPr>
          <w:b/>
          <w:u w:val="single"/>
          <w:lang w:eastAsia="pt-BR"/>
        </w:rPr>
        <w:t>,</w:t>
      </w:r>
      <w:r w:rsidR="00CF5348" w:rsidRPr="003B51E0">
        <w:rPr>
          <w:b/>
          <w:u w:val="single"/>
          <w:lang w:eastAsia="pt-BR"/>
        </w:rPr>
        <w:t>8</w:t>
      </w:r>
      <w:r w:rsidR="003E4B80" w:rsidRPr="003B51E0">
        <w:rPr>
          <w:b/>
          <w:u w:val="single"/>
          <w:lang w:eastAsia="pt-BR"/>
        </w:rPr>
        <w:t>0</w:t>
      </w:r>
      <w:r w:rsidR="0073339D" w:rsidRPr="003B51E0">
        <w:rPr>
          <w:b/>
          <w:u w:val="single"/>
          <w:lang w:eastAsia="pt-BR"/>
        </w:rPr>
        <w:t>(</w:t>
      </w:r>
      <w:r w:rsidR="00CF5348" w:rsidRPr="003B51E0">
        <w:rPr>
          <w:b/>
          <w:u w:val="single"/>
          <w:lang w:eastAsia="pt-BR"/>
        </w:rPr>
        <w:t xml:space="preserve">trinta e </w:t>
      </w:r>
      <w:proofErr w:type="spellStart"/>
      <w:r w:rsidR="00CF5348" w:rsidRPr="003B51E0">
        <w:rPr>
          <w:b/>
          <w:u w:val="single"/>
          <w:lang w:eastAsia="pt-BR"/>
        </w:rPr>
        <w:t>quatro</w:t>
      </w:r>
      <w:r w:rsidR="00DD6715" w:rsidRPr="003B51E0">
        <w:rPr>
          <w:b/>
          <w:u w:val="single"/>
          <w:lang w:eastAsia="pt-BR"/>
        </w:rPr>
        <w:t>milhões</w:t>
      </w:r>
      <w:proofErr w:type="spellEnd"/>
      <w:r w:rsidR="00DD6715" w:rsidRPr="003B51E0">
        <w:rPr>
          <w:b/>
          <w:u w:val="single"/>
          <w:lang w:eastAsia="pt-BR"/>
        </w:rPr>
        <w:t xml:space="preserve">, </w:t>
      </w:r>
      <w:r w:rsidR="00CF5348" w:rsidRPr="003B51E0">
        <w:rPr>
          <w:b/>
          <w:u w:val="single"/>
          <w:lang w:eastAsia="pt-BR"/>
        </w:rPr>
        <w:t xml:space="preserve">trezentos e sessenta e quatro </w:t>
      </w:r>
      <w:r w:rsidR="00DD6715" w:rsidRPr="003B51E0">
        <w:rPr>
          <w:b/>
          <w:u w:val="single"/>
          <w:lang w:eastAsia="pt-BR"/>
        </w:rPr>
        <w:t>mil</w:t>
      </w:r>
      <w:r w:rsidR="00B85A33" w:rsidRPr="003B51E0">
        <w:rPr>
          <w:b/>
          <w:u w:val="single"/>
          <w:lang w:eastAsia="pt-BR"/>
        </w:rPr>
        <w:t xml:space="preserve">, </w:t>
      </w:r>
      <w:r w:rsidR="008C64A2" w:rsidRPr="003B51E0">
        <w:rPr>
          <w:b/>
          <w:u w:val="single"/>
          <w:lang w:eastAsia="pt-BR"/>
        </w:rPr>
        <w:t>c</w:t>
      </w:r>
      <w:r w:rsidR="00B85A33" w:rsidRPr="003B51E0">
        <w:rPr>
          <w:b/>
          <w:u w:val="single"/>
          <w:lang w:eastAsia="pt-BR"/>
        </w:rPr>
        <w:t xml:space="preserve">ento e </w:t>
      </w:r>
      <w:proofErr w:type="spellStart"/>
      <w:r w:rsidR="00CF5348" w:rsidRPr="003B51E0">
        <w:rPr>
          <w:b/>
          <w:u w:val="single"/>
          <w:lang w:eastAsia="pt-BR"/>
        </w:rPr>
        <w:t>cinquenta</w:t>
      </w:r>
      <w:proofErr w:type="spellEnd"/>
      <w:r w:rsidR="00CF5348" w:rsidRPr="003B51E0">
        <w:rPr>
          <w:b/>
          <w:u w:val="single"/>
          <w:lang w:eastAsia="pt-BR"/>
        </w:rPr>
        <w:t xml:space="preserve"> e quatro </w:t>
      </w:r>
      <w:r w:rsidR="008A1684" w:rsidRPr="003B51E0">
        <w:rPr>
          <w:b/>
          <w:u w:val="single"/>
          <w:lang w:eastAsia="pt-BR"/>
        </w:rPr>
        <w:t>reais</w:t>
      </w:r>
      <w:r w:rsidR="00CF5348" w:rsidRPr="003B51E0">
        <w:rPr>
          <w:b/>
          <w:u w:val="single"/>
          <w:lang w:eastAsia="pt-BR"/>
        </w:rPr>
        <w:t xml:space="preserve"> </w:t>
      </w:r>
      <w:proofErr w:type="spellStart"/>
      <w:r w:rsidR="00CF5348" w:rsidRPr="003B51E0">
        <w:rPr>
          <w:b/>
          <w:u w:val="single"/>
          <w:lang w:eastAsia="pt-BR"/>
        </w:rPr>
        <w:t>eoitenta</w:t>
      </w:r>
      <w:proofErr w:type="spellEnd"/>
      <w:r w:rsidR="00CF5348" w:rsidRPr="003B51E0">
        <w:rPr>
          <w:b/>
          <w:u w:val="single"/>
          <w:lang w:eastAsia="pt-BR"/>
        </w:rPr>
        <w:t xml:space="preserve"> </w:t>
      </w:r>
      <w:r w:rsidR="00B85A33" w:rsidRPr="003B51E0">
        <w:rPr>
          <w:b/>
          <w:u w:val="single"/>
          <w:lang w:eastAsia="pt-BR"/>
        </w:rPr>
        <w:t>centavos</w:t>
      </w:r>
      <w:r w:rsidR="0073339D" w:rsidRPr="003B51E0">
        <w:rPr>
          <w:b/>
          <w:u w:val="single"/>
          <w:lang w:eastAsia="pt-BR"/>
        </w:rPr>
        <w:t>)</w:t>
      </w:r>
      <w:r w:rsidR="006A1806" w:rsidRPr="003B51E0">
        <w:rPr>
          <w:b/>
          <w:u w:val="single"/>
          <w:lang w:eastAsia="pt-BR"/>
        </w:rPr>
        <w:t>.</w:t>
      </w:r>
    </w:p>
    <w:p w:rsidR="00DF2380" w:rsidRPr="002C13B6" w:rsidRDefault="00DF2380" w:rsidP="00DF2380">
      <w:pPr>
        <w:rPr>
          <w:u w:val="single"/>
        </w:rPr>
      </w:pPr>
    </w:p>
    <w:p w:rsidR="0073339D" w:rsidRDefault="003121D7" w:rsidP="009017F5">
      <w:pPr>
        <w:pStyle w:val="Ttulo2"/>
        <w:numPr>
          <w:ilvl w:val="1"/>
          <w:numId w:val="24"/>
        </w:numPr>
        <w:rPr>
          <w:b/>
          <w:u w:val="single"/>
          <w:lang w:eastAsia="pt-BR"/>
        </w:rPr>
      </w:pPr>
      <w:r w:rsidRPr="002C13B6">
        <w:rPr>
          <w:b/>
          <w:u w:val="single"/>
        </w:rPr>
        <w:t xml:space="preserve">Critério de </w:t>
      </w:r>
      <w:proofErr w:type="gramStart"/>
      <w:r w:rsidRPr="002C13B6">
        <w:rPr>
          <w:b/>
          <w:u w:val="single"/>
        </w:rPr>
        <w:t>Julgamento:</w:t>
      </w:r>
      <w:proofErr w:type="gramEnd"/>
      <w:r w:rsidR="002A2F86" w:rsidRPr="002C13B6">
        <w:rPr>
          <w:b/>
          <w:u w:val="single"/>
          <w:lang w:eastAsia="pt-BR"/>
        </w:rPr>
        <w:t>M</w:t>
      </w:r>
      <w:r w:rsidR="001E71C8">
        <w:rPr>
          <w:b/>
          <w:u w:val="single"/>
          <w:lang w:eastAsia="pt-BR"/>
        </w:rPr>
        <w:t>aior Desconto</w:t>
      </w:r>
      <w:r w:rsidR="0073339D" w:rsidRPr="002C13B6">
        <w:rPr>
          <w:b/>
          <w:u w:val="single"/>
          <w:lang w:eastAsia="pt-BR"/>
        </w:rPr>
        <w:t>.</w:t>
      </w:r>
    </w:p>
    <w:p w:rsidR="00387F98" w:rsidRDefault="00387F98" w:rsidP="00FC1BC6"/>
    <w:p w:rsidR="004E66E0" w:rsidRPr="00FC1BC6" w:rsidRDefault="004E66E0" w:rsidP="00FC1BC6"/>
    <w:p w:rsidR="00F03901" w:rsidRPr="00EB3286" w:rsidRDefault="00F03901" w:rsidP="009017F5">
      <w:pPr>
        <w:pStyle w:val="Ttulo1"/>
        <w:numPr>
          <w:ilvl w:val="0"/>
          <w:numId w:val="24"/>
        </w:numPr>
      </w:pPr>
      <w:bookmarkStart w:id="7" w:name="_Toc18400272"/>
      <w:r w:rsidRPr="00EB3286">
        <w:t>LOCALIZAÇÃO DO</w:t>
      </w:r>
      <w:r w:rsidR="00FD52E4" w:rsidRPr="00EB3286">
        <w:t xml:space="preserve"> OBJETO</w:t>
      </w:r>
      <w:bookmarkEnd w:id="7"/>
    </w:p>
    <w:p w:rsidR="00F03901" w:rsidRDefault="00F03901" w:rsidP="00F03901">
      <w:pPr>
        <w:rPr>
          <w:szCs w:val="20"/>
        </w:rPr>
      </w:pPr>
    </w:p>
    <w:p w:rsidR="009D539B" w:rsidRDefault="009D539B" w:rsidP="009017F5">
      <w:pPr>
        <w:pStyle w:val="Ttulo2"/>
        <w:numPr>
          <w:ilvl w:val="1"/>
          <w:numId w:val="24"/>
        </w:numPr>
        <w:ind w:left="0" w:firstLine="0"/>
      </w:pPr>
      <w:r w:rsidRPr="009D539B">
        <w:t xml:space="preserve">Os serviços </w:t>
      </w:r>
      <w:r w:rsidR="006A1806">
        <w:t xml:space="preserve">poderão </w:t>
      </w:r>
      <w:proofErr w:type="spellStart"/>
      <w:r w:rsidR="006A1806">
        <w:t>ser</w:t>
      </w:r>
      <w:r w:rsidRPr="00B67FDF">
        <w:t>executados</w:t>
      </w:r>
      <w:proofErr w:type="spellEnd"/>
      <w:r w:rsidRPr="00B67FDF">
        <w:t xml:space="preserve"> </w:t>
      </w:r>
      <w:r w:rsidR="006A1806">
        <w:t>nos</w:t>
      </w:r>
      <w:r w:rsidR="001E07DA" w:rsidRPr="001E07DA">
        <w:t xml:space="preserve"> municípios </w:t>
      </w:r>
      <w:r w:rsidR="00334738">
        <w:t>que estão inseridos na área de atuação</w:t>
      </w:r>
      <w:r w:rsidR="00D70EAF">
        <w:t xml:space="preserve"> da </w:t>
      </w:r>
      <w:r w:rsidR="007F3BA4">
        <w:t>2</w:t>
      </w:r>
      <w:r w:rsidR="001E07DA" w:rsidRPr="001E07DA">
        <w:t xml:space="preserve">ª Superintendência Regional da </w:t>
      </w:r>
      <w:proofErr w:type="gramStart"/>
      <w:r w:rsidR="001E07DA" w:rsidRPr="001E07DA">
        <w:t>CODEVASF</w:t>
      </w:r>
      <w:r w:rsidR="005D5B69">
        <w:t>,</w:t>
      </w:r>
      <w:proofErr w:type="gramEnd"/>
      <w:r w:rsidR="00334738">
        <w:t xml:space="preserve">no Estado da Bahia, </w:t>
      </w:r>
      <w:r w:rsidR="001E07DA" w:rsidRPr="001E07DA">
        <w:t>em c</w:t>
      </w:r>
      <w:r w:rsidR="005D5B69">
        <w:t xml:space="preserve">omunidades </w:t>
      </w:r>
      <w:r w:rsidR="00334738">
        <w:t xml:space="preserve">localizadas </w:t>
      </w:r>
      <w:r w:rsidR="005D5B69">
        <w:t>na zona rural ou na</w:t>
      </w:r>
      <w:r w:rsidR="00334738">
        <w:t>s</w:t>
      </w:r>
      <w:r w:rsidR="005D5B69">
        <w:t xml:space="preserve"> s</w:t>
      </w:r>
      <w:r w:rsidR="001E07DA" w:rsidRPr="001E07DA">
        <w:t>ede</w:t>
      </w:r>
      <w:r w:rsidR="00334738">
        <w:t>s</w:t>
      </w:r>
      <w:r w:rsidR="00A0606D">
        <w:t xml:space="preserve"> destes.</w:t>
      </w:r>
    </w:p>
    <w:p w:rsidR="0055194B" w:rsidRDefault="0055194B" w:rsidP="0055194B">
      <w:pPr>
        <w:pStyle w:val="Recuodecorpodetexto"/>
        <w:tabs>
          <w:tab w:val="num" w:pos="1134"/>
        </w:tabs>
        <w:spacing w:before="120"/>
        <w:ind w:left="0"/>
      </w:pPr>
    </w:p>
    <w:p w:rsidR="00A0606D" w:rsidRDefault="00A0606D" w:rsidP="0055194B">
      <w:pPr>
        <w:pStyle w:val="Recuodecorpodetexto"/>
        <w:tabs>
          <w:tab w:val="num" w:pos="1134"/>
        </w:tabs>
        <w:spacing w:before="120"/>
        <w:ind w:left="0"/>
      </w:pPr>
    </w:p>
    <w:p w:rsidR="004F3B3C" w:rsidRDefault="004F3B3C" w:rsidP="0055194B">
      <w:pPr>
        <w:pStyle w:val="Recuodecorpodetexto"/>
        <w:tabs>
          <w:tab w:val="num" w:pos="1134"/>
        </w:tabs>
        <w:spacing w:before="120"/>
        <w:ind w:left="0"/>
      </w:pPr>
    </w:p>
    <w:p w:rsidR="00A0606D" w:rsidRDefault="00A0606D" w:rsidP="0055194B">
      <w:pPr>
        <w:pStyle w:val="Recuodecorpodetexto"/>
        <w:tabs>
          <w:tab w:val="num" w:pos="1134"/>
        </w:tabs>
        <w:spacing w:before="120"/>
        <w:ind w:left="0"/>
      </w:pPr>
    </w:p>
    <w:p w:rsidR="0055194B" w:rsidRDefault="0055194B" w:rsidP="0055194B"/>
    <w:p w:rsidR="00A3684D" w:rsidRPr="0088218A" w:rsidRDefault="00A3684D" w:rsidP="00A3684D">
      <w:pPr>
        <w:jc w:val="center"/>
        <w:rPr>
          <w:b/>
        </w:rPr>
      </w:pPr>
      <w:r w:rsidRPr="0088218A">
        <w:rPr>
          <w:b/>
        </w:rPr>
        <w:t>ÁREA DE ATUAÇÃO DA 2ª SUPERINTENDÊNCIA REGIONAL DA CODEVASF</w:t>
      </w:r>
    </w:p>
    <w:p w:rsidR="00A3684D" w:rsidRDefault="00B456DC" w:rsidP="00FA1889">
      <w:pPr>
        <w:pStyle w:val="Recuodecorpodetexto"/>
        <w:tabs>
          <w:tab w:val="num" w:pos="0"/>
        </w:tabs>
        <w:spacing w:line="360" w:lineRule="auto"/>
        <w:ind w:left="0"/>
        <w:jc w:val="left"/>
      </w:pPr>
      <w:r>
        <w:rPr>
          <w:noProof/>
          <w:lang w:eastAsia="pt-BR"/>
        </w:rPr>
        <w:pict>
          <v:rect id="Retângulo 5" o:spid="_x0000_s1026" style="position:absolute;margin-left:-.75pt;margin-top:18.2pt;width:452.25pt;height:3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" fillcolor="#4f81bd [3204]" strokecolor="#243f60 [1604]" strokeweight="2pt">
            <v:path arrowok="t"/>
          </v:rect>
        </w:pict>
      </w:r>
      <w:r w:rsidR="0090026E">
        <w:rPr>
          <w:noProof/>
          <w:lang w:eastAsia="pt-BR"/>
        </w:rPr>
        <w:drawing>
          <wp:inline distT="0" distB="0" distL="0" distR="0">
            <wp:extent cx="5848350" cy="5076825"/>
            <wp:effectExtent l="0" t="0" r="0" b="952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848350" cy="5076825"/>
                    </a:xfrm>
                    <a:prstGeom prst="rect">
                      <a:avLst/>
                    </a:prstGeom>
                    <a:noFill/>
                    <a:ln>
                      <a:noFill/>
                    </a:ln>
                  </pic:spPr>
                </pic:pic>
              </a:graphicData>
            </a:graphic>
          </wp:inline>
        </w:drawing>
      </w:r>
    </w:p>
    <w:p w:rsidR="00A3684D" w:rsidRDefault="00A3684D" w:rsidP="0055194B">
      <w:pPr>
        <w:rPr>
          <w:b/>
        </w:rPr>
      </w:pPr>
    </w:p>
    <w:p w:rsidR="00A3684D" w:rsidRDefault="00A3684D" w:rsidP="0055194B"/>
    <w:p w:rsidR="009D47C3" w:rsidRDefault="009D47C3" w:rsidP="009017F5">
      <w:pPr>
        <w:pStyle w:val="Ttulo1"/>
        <w:numPr>
          <w:ilvl w:val="0"/>
          <w:numId w:val="24"/>
        </w:numPr>
      </w:pPr>
      <w:bookmarkStart w:id="8" w:name="_Toc18400273"/>
      <w:r w:rsidRPr="00EB3286">
        <w:t>DESCRIÇÃO DOS SERVIÇOS</w:t>
      </w:r>
      <w:bookmarkEnd w:id="8"/>
    </w:p>
    <w:p w:rsidR="003C7BB6" w:rsidRPr="003C7BB6" w:rsidRDefault="003C7BB6" w:rsidP="003C7BB6"/>
    <w:p w:rsidR="009D539B" w:rsidRPr="002A2F86" w:rsidRDefault="00017E28" w:rsidP="009017F5">
      <w:pPr>
        <w:pStyle w:val="Ttulo2"/>
        <w:numPr>
          <w:ilvl w:val="1"/>
          <w:numId w:val="24"/>
        </w:numPr>
        <w:ind w:left="0" w:firstLine="0"/>
      </w:pPr>
      <w:proofErr w:type="spellStart"/>
      <w:r>
        <w:t>Os</w:t>
      </w:r>
      <w:r w:rsidR="009D539B" w:rsidRPr="009D539B">
        <w:t>serviços</w:t>
      </w:r>
      <w:proofErr w:type="spellEnd"/>
      <w:r w:rsidR="009D539B" w:rsidRPr="009D539B">
        <w:t xml:space="preserve"> </w:t>
      </w:r>
      <w:r w:rsidR="00FB0888">
        <w:t xml:space="preserve">de engenharia </w:t>
      </w:r>
      <w:r w:rsidR="009D539B" w:rsidRPr="009D539B">
        <w:t xml:space="preserve">objeto desta licitação encontram-se descritos e </w:t>
      </w:r>
      <w:r w:rsidR="009D539B" w:rsidRPr="00B67FDF">
        <w:t xml:space="preserve">caracterizados no Projeto Básico, Desenhos e Especificações Técnicas e quantificados na </w:t>
      </w:r>
      <w:r w:rsidR="00C1208B" w:rsidRPr="00B67FDF">
        <w:t>P</w:t>
      </w:r>
      <w:r w:rsidR="00C1208B" w:rsidRPr="00B67FDF">
        <w:rPr>
          <w:szCs w:val="20"/>
        </w:rPr>
        <w:t>lanilha de Custos do Valor do Orçamento de Referência</w:t>
      </w:r>
      <w:r w:rsidR="00D52EFE" w:rsidRPr="00B67FDF">
        <w:t xml:space="preserve">, que </w:t>
      </w:r>
      <w:r w:rsidR="009D539B" w:rsidRPr="00B67FDF">
        <w:t xml:space="preserve">integram este Termo de </w:t>
      </w:r>
      <w:proofErr w:type="gramStart"/>
      <w:r w:rsidR="009D539B" w:rsidRPr="00B67FDF">
        <w:t>Referência</w:t>
      </w:r>
      <w:r w:rsidR="002A2F86" w:rsidRPr="00B67FDF">
        <w:t>(</w:t>
      </w:r>
      <w:proofErr w:type="gramEnd"/>
      <w:r w:rsidR="005D3984" w:rsidRPr="00B67FDF">
        <w:t>Anexo V</w:t>
      </w:r>
      <w:r w:rsidR="0063494E">
        <w:t>I</w:t>
      </w:r>
      <w:r w:rsidR="005D3984" w:rsidRPr="00B67FDF">
        <w:t xml:space="preserve"> e Anexo VI</w:t>
      </w:r>
      <w:r w:rsidR="0063494E">
        <w:t>I</w:t>
      </w:r>
      <w:r w:rsidR="002A2F86" w:rsidRPr="00B67FDF">
        <w:t>).</w:t>
      </w:r>
    </w:p>
    <w:p w:rsidR="009D47C3" w:rsidRDefault="009D47C3" w:rsidP="009D47C3">
      <w:pPr>
        <w:rPr>
          <w:szCs w:val="20"/>
        </w:rPr>
      </w:pPr>
    </w:p>
    <w:p w:rsidR="00D66529" w:rsidRDefault="00C37779" w:rsidP="009017F5">
      <w:pPr>
        <w:pStyle w:val="Ttulo2"/>
        <w:numPr>
          <w:ilvl w:val="1"/>
          <w:numId w:val="24"/>
        </w:numPr>
        <w:ind w:left="0" w:firstLine="0"/>
      </w:pPr>
      <w:r>
        <w:t xml:space="preserve">O objeto do presente certame licitatório será executado em </w:t>
      </w:r>
      <w:r w:rsidR="004F570B">
        <w:t>01 (</w:t>
      </w:r>
      <w:proofErr w:type="gramStart"/>
      <w:r w:rsidR="004F570B">
        <w:t>hum</w:t>
      </w:r>
      <w:proofErr w:type="gramEnd"/>
      <w:r w:rsidR="004F570B">
        <w:t>)</w:t>
      </w:r>
      <w:r>
        <w:t xml:space="preserve"> lote, </w:t>
      </w:r>
      <w:r w:rsidRPr="009D539B">
        <w:t>compreende</w:t>
      </w:r>
      <w:r>
        <w:t xml:space="preserve">ndo </w:t>
      </w:r>
      <w:r w:rsidR="001A3660">
        <w:t>12 (doze) itens, conforme tabela abaixo:</w:t>
      </w:r>
    </w:p>
    <w:p w:rsidR="00EA4264" w:rsidRDefault="00EA4264" w:rsidP="00EE4318">
      <w:pPr>
        <w:ind w:left="709"/>
        <w:rPr>
          <w:b/>
          <w:color w:val="FF0000"/>
          <w:szCs w:val="20"/>
          <w:u w:val="single"/>
        </w:rPr>
      </w:pPr>
    </w:p>
    <w:p w:rsidR="004F570B" w:rsidRPr="002A7F26" w:rsidRDefault="005519B4" w:rsidP="004F570B">
      <w:pPr>
        <w:pStyle w:val="Recuodecorpodetexto"/>
        <w:suppressAutoHyphens/>
        <w:spacing w:after="0" w:line="276" w:lineRule="auto"/>
        <w:ind w:left="0"/>
      </w:pPr>
      <w:r w:rsidRPr="005519B4">
        <w:rPr>
          <w:noProof/>
          <w:lang w:eastAsia="pt-BR"/>
        </w:rPr>
        <w:drawing>
          <wp:inline distT="0" distB="0" distL="0" distR="0">
            <wp:extent cx="5850255" cy="5015581"/>
            <wp:effectExtent l="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850255" cy="5015581"/>
                    </a:xfrm>
                    <a:prstGeom prst="rect">
                      <a:avLst/>
                    </a:prstGeom>
                    <a:noFill/>
                    <a:ln>
                      <a:noFill/>
                    </a:ln>
                  </pic:spPr>
                </pic:pic>
              </a:graphicData>
            </a:graphic>
          </wp:inline>
        </w:drawing>
      </w:r>
    </w:p>
    <w:p w:rsidR="002044B0" w:rsidRDefault="002044B0" w:rsidP="00EA4264">
      <w:pPr>
        <w:ind w:left="282"/>
        <w:rPr>
          <w:color w:val="0070C0"/>
          <w:szCs w:val="20"/>
        </w:rPr>
      </w:pPr>
    </w:p>
    <w:p w:rsidR="006E253F" w:rsidRPr="00EB3286" w:rsidRDefault="006E253F" w:rsidP="009017F5">
      <w:pPr>
        <w:pStyle w:val="Ttulo1"/>
        <w:numPr>
          <w:ilvl w:val="0"/>
          <w:numId w:val="24"/>
        </w:numPr>
      </w:pPr>
      <w:bookmarkStart w:id="9" w:name="_Toc18400274"/>
      <w:r w:rsidRPr="00EB3286">
        <w:t>CONDIÇÕES DE PARTICIPAÇÃO</w:t>
      </w:r>
      <w:bookmarkEnd w:id="9"/>
    </w:p>
    <w:p w:rsidR="006E253F" w:rsidRDefault="006E253F" w:rsidP="003B4053"/>
    <w:p w:rsidR="00557C61" w:rsidRDefault="00D52EFE" w:rsidP="009017F5">
      <w:pPr>
        <w:pStyle w:val="Ttulo2"/>
        <w:numPr>
          <w:ilvl w:val="1"/>
          <w:numId w:val="24"/>
        </w:numPr>
        <w:ind w:left="0" w:firstLine="0"/>
      </w:pPr>
      <w:bookmarkStart w:id="10" w:name="_Ref449450707"/>
      <w:r w:rsidRPr="00D52EFE">
        <w:t xml:space="preserve">Poderão participar </w:t>
      </w:r>
      <w:r w:rsidRPr="00EB3286">
        <w:t xml:space="preserve">da presente licitação empresas do ramo, pertinente com o objeto desta licitação, </w:t>
      </w:r>
      <w:proofErr w:type="gramStart"/>
      <w:r w:rsidR="00A95899" w:rsidRPr="00B67FDF">
        <w:t>individuais</w:t>
      </w:r>
      <w:r w:rsidRPr="00B67FDF">
        <w:t>,</w:t>
      </w:r>
      <w:proofErr w:type="gramEnd"/>
      <w:r w:rsidRPr="00EB3286">
        <w:t xml:space="preserve">que atendam </w:t>
      </w:r>
      <w:r w:rsidR="003B38E8" w:rsidRPr="00EB3286">
        <w:t>às</w:t>
      </w:r>
      <w:r w:rsidRPr="00EB3286">
        <w:t xml:space="preserve"> exigências do </w:t>
      </w:r>
      <w:r w:rsidR="002A2F86">
        <w:t>TR</w:t>
      </w:r>
      <w:r w:rsidRPr="00EB3286">
        <w:t xml:space="preserve"> e seus anexos.</w:t>
      </w:r>
    </w:p>
    <w:p w:rsidR="00D52EFE" w:rsidRPr="00D52EFE" w:rsidRDefault="00D52EFE" w:rsidP="00D52EFE"/>
    <w:p w:rsidR="0001193D" w:rsidRPr="00833B53" w:rsidRDefault="0001193D" w:rsidP="009017F5">
      <w:pPr>
        <w:pStyle w:val="Ttulo2"/>
        <w:numPr>
          <w:ilvl w:val="1"/>
          <w:numId w:val="24"/>
        </w:numPr>
        <w:ind w:left="0" w:firstLine="0"/>
        <w:rPr>
          <w:b/>
        </w:rPr>
      </w:pPr>
      <w:bookmarkStart w:id="11" w:name="_Ref441152334"/>
      <w:bookmarkEnd w:id="10"/>
      <w:r w:rsidRPr="00833B53">
        <w:rPr>
          <w:b/>
        </w:rPr>
        <w:t>CONSÓRCIO</w:t>
      </w:r>
    </w:p>
    <w:p w:rsidR="003C7BB6" w:rsidRPr="003C7BB6" w:rsidRDefault="003C7BB6" w:rsidP="003C7BB6"/>
    <w:p w:rsidR="004E6B45" w:rsidRPr="00B67FDF" w:rsidRDefault="004E6B45" w:rsidP="009017F5">
      <w:pPr>
        <w:pStyle w:val="Ttulo3"/>
        <w:numPr>
          <w:ilvl w:val="2"/>
          <w:numId w:val="24"/>
        </w:numPr>
      </w:pPr>
      <w:r w:rsidRPr="00B67FDF">
        <w:t>Não será permitida a participação de pessoas jurídicas organizadas sob a forma de Consórcio de empresas.</w:t>
      </w:r>
    </w:p>
    <w:p w:rsidR="00357E46" w:rsidRDefault="00357E46" w:rsidP="00357E46">
      <w:pPr>
        <w:rPr>
          <w:lang w:eastAsia="pt-BR"/>
        </w:rPr>
      </w:pPr>
    </w:p>
    <w:p w:rsidR="00A61E80" w:rsidRPr="00833B53" w:rsidRDefault="00A61E80" w:rsidP="009017F5">
      <w:pPr>
        <w:pStyle w:val="Ttulo2"/>
        <w:numPr>
          <w:ilvl w:val="1"/>
          <w:numId w:val="24"/>
        </w:numPr>
        <w:ind w:left="0" w:firstLine="0"/>
        <w:rPr>
          <w:b/>
        </w:rPr>
      </w:pPr>
      <w:bookmarkStart w:id="12" w:name="_Ref455652949"/>
      <w:r w:rsidRPr="00833B53">
        <w:rPr>
          <w:b/>
        </w:rPr>
        <w:t>SUBCONTRATAÇÃO</w:t>
      </w:r>
      <w:bookmarkEnd w:id="11"/>
      <w:bookmarkEnd w:id="12"/>
    </w:p>
    <w:p w:rsidR="00A61E80" w:rsidRDefault="00A573E9" w:rsidP="00A573E9">
      <w:pPr>
        <w:tabs>
          <w:tab w:val="left" w:pos="1605"/>
        </w:tabs>
        <w:rPr>
          <w:szCs w:val="20"/>
        </w:rPr>
      </w:pPr>
      <w:r>
        <w:rPr>
          <w:szCs w:val="20"/>
        </w:rPr>
        <w:tab/>
      </w:r>
    </w:p>
    <w:p w:rsidR="00B525CB" w:rsidRDefault="002A7F26" w:rsidP="009017F5">
      <w:pPr>
        <w:pStyle w:val="Ttulo3"/>
        <w:numPr>
          <w:ilvl w:val="2"/>
          <w:numId w:val="24"/>
        </w:numPr>
      </w:pPr>
      <w:r>
        <w:t>S</w:t>
      </w:r>
      <w:r w:rsidR="00FD5DB4" w:rsidRPr="006164C4">
        <w:t>erá permitida a subcontratação d</w:t>
      </w:r>
      <w:r w:rsidR="00FD5DB4">
        <w:t xml:space="preserve">os </w:t>
      </w:r>
      <w:r w:rsidR="00FD5DB4" w:rsidRPr="003F03BD">
        <w:rPr>
          <w:b/>
        </w:rPr>
        <w:t xml:space="preserve">serviços </w:t>
      </w:r>
      <w:r w:rsidRPr="003F03BD">
        <w:rPr>
          <w:b/>
        </w:rPr>
        <w:t>de instalação de energia solar</w:t>
      </w:r>
      <w:r w:rsidR="003F03BD">
        <w:t>,</w:t>
      </w:r>
      <w:r>
        <w:t xml:space="preserve"> parte do </w:t>
      </w:r>
      <w:r w:rsidR="00FD5DB4">
        <w:t>objeto deste TR</w:t>
      </w:r>
      <w:r w:rsidR="00DB7841">
        <w:t>.</w:t>
      </w:r>
      <w:r w:rsidR="003F03BD">
        <w:t xml:space="preserve"> Tal subcontratação deverá ter previa anuência da CODEVASF.</w:t>
      </w:r>
    </w:p>
    <w:p w:rsidR="00B525CB" w:rsidRDefault="00B525CB" w:rsidP="00B525CB"/>
    <w:p w:rsidR="00927D8F" w:rsidRDefault="00927D8F" w:rsidP="00927D8F"/>
    <w:p w:rsidR="005B2B2E" w:rsidRPr="00833B53" w:rsidRDefault="005B2B2E" w:rsidP="009017F5">
      <w:pPr>
        <w:pStyle w:val="Ttulo2"/>
        <w:numPr>
          <w:ilvl w:val="1"/>
          <w:numId w:val="24"/>
        </w:numPr>
        <w:ind w:left="0" w:firstLine="0"/>
        <w:rPr>
          <w:b/>
        </w:rPr>
      </w:pPr>
      <w:r w:rsidRPr="00833B53">
        <w:rPr>
          <w:b/>
        </w:rPr>
        <w:t>VISITA AO LOCAL D</w:t>
      </w:r>
      <w:r w:rsidR="00017E28">
        <w:rPr>
          <w:b/>
        </w:rPr>
        <w:t>O</w:t>
      </w:r>
      <w:r w:rsidRPr="00833B53">
        <w:rPr>
          <w:b/>
        </w:rPr>
        <w:t xml:space="preserve">S </w:t>
      </w:r>
      <w:r w:rsidR="00017E28">
        <w:rPr>
          <w:b/>
        </w:rPr>
        <w:t>SERVIÇOS DE ENGENHARIA</w:t>
      </w:r>
    </w:p>
    <w:p w:rsidR="005B2B2E" w:rsidRPr="00EB3286" w:rsidRDefault="005B2B2E" w:rsidP="005B2B2E">
      <w:pPr>
        <w:rPr>
          <w:szCs w:val="20"/>
        </w:rPr>
      </w:pPr>
    </w:p>
    <w:p w:rsidR="005B2B2E" w:rsidRDefault="005B2B2E" w:rsidP="009017F5">
      <w:pPr>
        <w:pStyle w:val="Ttulo3"/>
        <w:numPr>
          <w:ilvl w:val="2"/>
          <w:numId w:val="24"/>
        </w:numPr>
      </w:pPr>
      <w:r w:rsidRPr="00EB3286">
        <w:t xml:space="preserve">A visita aos locais de prestação dos serviços </w:t>
      </w:r>
      <w:r w:rsidR="00833B53" w:rsidRPr="004E4D90">
        <w:rPr>
          <w:b/>
          <w:u w:val="single"/>
        </w:rPr>
        <w:t xml:space="preserve">NÃO </w:t>
      </w:r>
      <w:r w:rsidR="004E4D90" w:rsidRPr="004E4D90">
        <w:rPr>
          <w:b/>
          <w:u w:val="single"/>
        </w:rPr>
        <w:t>será obrigatória</w:t>
      </w:r>
      <w:r w:rsidRPr="00EB3286">
        <w:t xml:space="preserve">, </w:t>
      </w:r>
      <w:r w:rsidRPr="00C33A36">
        <w:t>porém, recomenda-se às licitantes que seja realizada a visita aos locais onde serão executados os serviços e suas circunvizinhanças</w:t>
      </w:r>
      <w:r w:rsidRPr="00EB3286">
        <w:t xml:space="preserve">, </w:t>
      </w:r>
      <w:r w:rsidRPr="00B67FDF">
        <w:t xml:space="preserve">por intermédio de pelo menos um engenheiro civil, indicado pela licitante, ou de seu representante legal ou responsável técnico, para tomar pleno conhecimento das condições e peculiaridades inerentes à natureza dos </w:t>
      </w:r>
      <w:r w:rsidRPr="00EB3286">
        <w:t>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5B2B2E" w:rsidRPr="00EB3286" w:rsidRDefault="005B2B2E" w:rsidP="002A2F86">
      <w:pPr>
        <w:rPr>
          <w:szCs w:val="20"/>
        </w:rPr>
      </w:pPr>
    </w:p>
    <w:p w:rsidR="005B2B2E" w:rsidRPr="00EB3286" w:rsidRDefault="005B2B2E" w:rsidP="009017F5">
      <w:pPr>
        <w:pStyle w:val="Ttulo3"/>
        <w:numPr>
          <w:ilvl w:val="2"/>
          <w:numId w:val="24"/>
        </w:numPr>
      </w:pPr>
      <w:r w:rsidRPr="00EB3286">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5B2B2E" w:rsidRPr="00EB3286" w:rsidRDefault="005B2B2E" w:rsidP="00713A43">
      <w:pPr>
        <w:pStyle w:val="Ttulo2"/>
        <w:numPr>
          <w:ilvl w:val="0"/>
          <w:numId w:val="0"/>
        </w:numPr>
      </w:pPr>
    </w:p>
    <w:p w:rsidR="005B2B2E" w:rsidRPr="00EB3286" w:rsidRDefault="005B2B2E" w:rsidP="009017F5">
      <w:pPr>
        <w:pStyle w:val="Ttulo3"/>
        <w:numPr>
          <w:ilvl w:val="2"/>
          <w:numId w:val="24"/>
        </w:numPr>
      </w:pPr>
      <w:r w:rsidRPr="00EB3286">
        <w:t>Os custos de visita aos locais d</w:t>
      </w:r>
      <w:r w:rsidR="00017E28">
        <w:t>o</w:t>
      </w:r>
      <w:r w:rsidRPr="00EB3286">
        <w:t>s serviços</w:t>
      </w:r>
      <w:r w:rsidR="00FB0888">
        <w:t xml:space="preserve"> de engenharia</w:t>
      </w:r>
      <w:r w:rsidRPr="00EB3286">
        <w:t xml:space="preserve"> correrão por exclusiva conta da licitante.</w:t>
      </w:r>
    </w:p>
    <w:p w:rsidR="005B2B2E" w:rsidRPr="00EB3286" w:rsidRDefault="005B2B2E" w:rsidP="00713A43">
      <w:pPr>
        <w:pStyle w:val="Ttulo2"/>
        <w:numPr>
          <w:ilvl w:val="0"/>
          <w:numId w:val="0"/>
        </w:numPr>
      </w:pPr>
    </w:p>
    <w:p w:rsidR="00611D5E" w:rsidRDefault="006B17C4" w:rsidP="009017F5">
      <w:pPr>
        <w:pStyle w:val="Ttulo3"/>
        <w:numPr>
          <w:ilvl w:val="2"/>
          <w:numId w:val="24"/>
        </w:numPr>
        <w:rPr>
          <w:iCs/>
        </w:rPr>
      </w:pPr>
      <w:r w:rsidRPr="00A87C70">
        <w:t xml:space="preserve">Em </w:t>
      </w:r>
      <w:r w:rsidRPr="00B67FDF">
        <w:t>caso de dúvidas sobre a visita ao local onde serão executad</w:t>
      </w:r>
      <w:r w:rsidR="00B93526">
        <w:t>o</w:t>
      </w:r>
      <w:r w:rsidRPr="00B67FDF">
        <w:t xml:space="preserve">s </w:t>
      </w:r>
      <w:r w:rsidR="00017E28">
        <w:t>o</w:t>
      </w:r>
      <w:r w:rsidRPr="00B67FDF">
        <w:t>s serviços de engenharia, as licitantes deverão con</w:t>
      </w:r>
      <w:r w:rsidR="005A0787">
        <w:t xml:space="preserve">tatar com a Gerência Regional </w:t>
      </w:r>
      <w:r w:rsidR="0063494E">
        <w:t xml:space="preserve">de </w:t>
      </w:r>
      <w:proofErr w:type="spellStart"/>
      <w:r w:rsidR="0063494E">
        <w:t>Infraestrutura</w:t>
      </w:r>
      <w:proofErr w:type="spellEnd"/>
      <w:r w:rsidR="0063494E">
        <w:t xml:space="preserve"> </w:t>
      </w:r>
      <w:r w:rsidR="005A0787">
        <w:t>da</w:t>
      </w:r>
      <w:r w:rsidR="00F91C61">
        <w:rPr>
          <w:iCs/>
        </w:rPr>
        <w:t>2</w:t>
      </w:r>
      <w:r w:rsidRPr="00B67FDF">
        <w:rPr>
          <w:iCs/>
        </w:rPr>
        <w:t>ª Superintendência Regional</w:t>
      </w:r>
      <w:r w:rsidRPr="00B67FDF">
        <w:t xml:space="preserve"> da </w:t>
      </w:r>
      <w:r w:rsidR="00F91C61" w:rsidRPr="007D3F24">
        <w:t>CODEVASF</w:t>
      </w:r>
      <w:r w:rsidRPr="00B67FDF">
        <w:t xml:space="preserve">, em </w:t>
      </w:r>
      <w:r w:rsidR="00F91C61">
        <w:t>Bom Jesus da Lapa</w:t>
      </w:r>
      <w:r w:rsidRPr="00B67FDF">
        <w:t>, no estado d</w:t>
      </w:r>
      <w:r w:rsidR="006E59B5">
        <w:t>a</w:t>
      </w:r>
      <w:r w:rsidR="00F91C61">
        <w:t xml:space="preserve"> Bahia</w:t>
      </w:r>
      <w:r w:rsidRPr="00B67FDF">
        <w:t xml:space="preserve"> no telefone: </w:t>
      </w:r>
      <w:r w:rsidR="009C0506">
        <w:t xml:space="preserve">2ª GRD </w:t>
      </w:r>
      <w:r w:rsidRPr="00B67FDF">
        <w:t>(</w:t>
      </w:r>
      <w:r w:rsidR="009C0506">
        <w:t>77</w:t>
      </w:r>
      <w:r w:rsidRPr="00B67FDF">
        <w:t>)</w:t>
      </w:r>
      <w:r w:rsidR="006E59B5">
        <w:t>3</w:t>
      </w:r>
      <w:r w:rsidR="009C0506">
        <w:t>481</w:t>
      </w:r>
      <w:r w:rsidRPr="00B67FDF">
        <w:t>-</w:t>
      </w:r>
      <w:r w:rsidR="009C0506">
        <w:t>802</w:t>
      </w:r>
      <w:r w:rsidR="004C34A9">
        <w:t>1</w:t>
      </w:r>
      <w:r w:rsidRPr="00B67FDF">
        <w:rPr>
          <w:iCs/>
        </w:rPr>
        <w:t>.</w:t>
      </w:r>
    </w:p>
    <w:p w:rsidR="00326CE1" w:rsidRPr="00326CE1" w:rsidRDefault="00326CE1" w:rsidP="00326CE1"/>
    <w:p w:rsidR="00326CE1" w:rsidRPr="003B38E8" w:rsidRDefault="000D0998" w:rsidP="000D0998">
      <w:pPr>
        <w:ind w:left="705" w:hanging="705"/>
      </w:pPr>
      <w:r w:rsidRPr="000D0998">
        <w:rPr>
          <w:b/>
        </w:rPr>
        <w:t>6.4.5</w:t>
      </w:r>
      <w:r>
        <w:tab/>
      </w:r>
      <w:r w:rsidR="00326CE1" w:rsidRPr="003B38E8">
        <w:t xml:space="preserve">A declaração de que conhece o local onde serão executados </w:t>
      </w:r>
      <w:r w:rsidR="00017E28">
        <w:t>o</w:t>
      </w:r>
      <w:r w:rsidR="00326CE1" w:rsidRPr="003B38E8">
        <w:t>s serviços</w:t>
      </w:r>
      <w:r w:rsidR="00017E28">
        <w:t xml:space="preserve"> de engenharia</w:t>
      </w:r>
      <w:r w:rsidR="00326CE1" w:rsidRPr="003B38E8">
        <w:t xml:space="preserve"> e suas circunvizinhanças será emitida pela empresa licitante (Modelo de Declaração – Anexo II deste TR), através dos seus prepostos.</w:t>
      </w:r>
    </w:p>
    <w:p w:rsidR="00326CE1" w:rsidRPr="00326CE1" w:rsidRDefault="00326CE1" w:rsidP="00326CE1">
      <w:pPr>
        <w:ind w:left="1134" w:hanging="567"/>
        <w:rPr>
          <w:color w:val="FF0000"/>
        </w:rPr>
      </w:pPr>
    </w:p>
    <w:p w:rsidR="00E5560C" w:rsidRPr="00EB3286" w:rsidRDefault="00E5560C" w:rsidP="009017F5">
      <w:pPr>
        <w:pStyle w:val="Ttulo1"/>
        <w:numPr>
          <w:ilvl w:val="0"/>
          <w:numId w:val="24"/>
        </w:numPr>
      </w:pPr>
      <w:bookmarkStart w:id="13" w:name="_Toc18400275"/>
      <w:r w:rsidRPr="00EB3286">
        <w:t>PROPOSTA</w:t>
      </w:r>
      <w:bookmarkEnd w:id="13"/>
    </w:p>
    <w:p w:rsidR="00E5560C" w:rsidRPr="00EB3286" w:rsidRDefault="00E5560C" w:rsidP="00E5560C">
      <w:pPr>
        <w:rPr>
          <w:szCs w:val="20"/>
        </w:rPr>
      </w:pPr>
    </w:p>
    <w:p w:rsidR="00E5560C" w:rsidRPr="00EB3286" w:rsidRDefault="00E5560C" w:rsidP="009017F5">
      <w:pPr>
        <w:pStyle w:val="Ttulo2"/>
        <w:numPr>
          <w:ilvl w:val="1"/>
          <w:numId w:val="24"/>
        </w:numPr>
        <w:ind w:left="0" w:firstLine="0"/>
      </w:pPr>
      <w:r w:rsidRPr="00EB3286">
        <w:t xml:space="preserve">A Proposta </w:t>
      </w:r>
      <w:r w:rsidR="00EC3E77">
        <w:t>de preço</w:t>
      </w:r>
      <w:r w:rsidR="00825728">
        <w:t xml:space="preserve"> deverá</w:t>
      </w:r>
      <w:r w:rsidRPr="00EB3286">
        <w:t xml:space="preserve"> ser firme e precisa</w:t>
      </w:r>
      <w:r w:rsidR="00825728">
        <w:t>;</w:t>
      </w:r>
      <w:r w:rsidRPr="00EB3286">
        <w:t xml:space="preserve"> limitada rigorosamente ao objeto desta licitação, e não poderá conter condições ou alternativas não previstas neste </w:t>
      </w:r>
      <w:r>
        <w:t>TR</w:t>
      </w:r>
      <w:r w:rsidRPr="00EB3286">
        <w:t xml:space="preserve"> e seus </w:t>
      </w:r>
      <w:r w:rsidR="00525FD5">
        <w:t>a</w:t>
      </w:r>
      <w:r w:rsidRPr="00EB3286">
        <w:t>nexos constitutivos.</w:t>
      </w:r>
    </w:p>
    <w:p w:rsidR="00E5560C" w:rsidRPr="00EB3286" w:rsidRDefault="00E5560C" w:rsidP="00E5560C">
      <w:pPr>
        <w:rPr>
          <w:szCs w:val="20"/>
        </w:rPr>
      </w:pPr>
    </w:p>
    <w:p w:rsidR="00E5560C" w:rsidRDefault="00E5560C" w:rsidP="009017F5">
      <w:pPr>
        <w:pStyle w:val="Ttulo2"/>
        <w:numPr>
          <w:ilvl w:val="1"/>
          <w:numId w:val="24"/>
        </w:numPr>
        <w:ind w:left="0" w:firstLine="0"/>
      </w:pPr>
      <w:r w:rsidRPr="00EB3286">
        <w:t xml:space="preserve">A </w:t>
      </w:r>
      <w:proofErr w:type="spellStart"/>
      <w:r w:rsidRPr="00EB3286">
        <w:t>Propostaconstitui-se</w:t>
      </w:r>
      <w:proofErr w:type="spellEnd"/>
      <w:r w:rsidRPr="00EB3286">
        <w:t xml:space="preserve"> dos seguintes documentos:</w:t>
      </w:r>
    </w:p>
    <w:p w:rsidR="00EA0287" w:rsidRPr="003F5009" w:rsidRDefault="00EA0287" w:rsidP="00671A34">
      <w:pPr>
        <w:rPr>
          <w:color w:val="FF0000"/>
        </w:rPr>
      </w:pPr>
    </w:p>
    <w:p w:rsidR="00D94A95" w:rsidRDefault="000B7017" w:rsidP="009017F5">
      <w:pPr>
        <w:pStyle w:val="Legenda"/>
        <w:numPr>
          <w:ilvl w:val="0"/>
          <w:numId w:val="23"/>
        </w:numPr>
        <w:jc w:val="both"/>
        <w:rPr>
          <w:rFonts w:ascii="Arial" w:hAnsi="Arial"/>
          <w:b w:val="0"/>
        </w:rPr>
      </w:pPr>
      <w:r w:rsidRPr="003F5009">
        <w:rPr>
          <w:rFonts w:ascii="Arial" w:hAnsi="Arial"/>
          <w:b w:val="0"/>
        </w:rPr>
        <w:t>Planilha de Custos do Valor da Proposta da Licitante (Planilha Detalhada)</w:t>
      </w:r>
      <w:r w:rsidR="00D94A95" w:rsidRPr="003F5009">
        <w:rPr>
          <w:rFonts w:ascii="Arial" w:hAnsi="Arial"/>
          <w:b w:val="0"/>
        </w:rPr>
        <w:t xml:space="preserve"> com todos os seus itens, devidamente preenchida, com clareza e sem rasuras, conforme a </w:t>
      </w:r>
      <w:r w:rsidRPr="003F5009">
        <w:rPr>
          <w:rFonts w:ascii="Arial" w:hAnsi="Arial"/>
          <w:b w:val="0"/>
        </w:rPr>
        <w:t>Planilha de Custos do Valor do Orçamento de Referência (Planilha Detalhada)</w:t>
      </w:r>
      <w:r w:rsidR="00D94A95" w:rsidRPr="003F5009">
        <w:rPr>
          <w:rFonts w:ascii="Arial" w:hAnsi="Arial"/>
          <w:b w:val="0"/>
        </w:rPr>
        <w:t xml:space="preserve"> –</w:t>
      </w:r>
      <w:r w:rsidR="00604B55" w:rsidRPr="003F5009">
        <w:rPr>
          <w:rFonts w:ascii="Arial" w:hAnsi="Arial"/>
          <w:b w:val="0"/>
        </w:rPr>
        <w:t xml:space="preserve"> Anexo VI</w:t>
      </w:r>
      <w:r w:rsidR="00D94A95" w:rsidRPr="003F5009">
        <w:rPr>
          <w:rFonts w:ascii="Arial" w:hAnsi="Arial"/>
          <w:b w:val="0"/>
        </w:rPr>
        <w:t xml:space="preserve">, que é parte integrante deste Termo de Referência, observando-se os preços unitários orçados pela </w:t>
      </w:r>
      <w:r w:rsidR="009C0506" w:rsidRPr="009C0506">
        <w:rPr>
          <w:b w:val="0"/>
        </w:rPr>
        <w:t>CODEVASF</w:t>
      </w:r>
      <w:r w:rsidR="00D94A95" w:rsidRPr="003F5009">
        <w:rPr>
          <w:rFonts w:ascii="Arial" w:hAnsi="Arial"/>
          <w:b w:val="0"/>
        </w:rPr>
        <w:t xml:space="preserve">, conforme </w:t>
      </w:r>
      <w:r w:rsidR="00151295" w:rsidRPr="003F5009">
        <w:rPr>
          <w:rFonts w:ascii="Arial" w:hAnsi="Arial"/>
          <w:b w:val="0"/>
        </w:rPr>
        <w:t xml:space="preserve">inciso </w:t>
      </w:r>
      <w:r w:rsidR="00CC3526">
        <w:rPr>
          <w:rFonts w:ascii="Arial" w:hAnsi="Arial"/>
          <w:b w:val="0"/>
        </w:rPr>
        <w:t>I</w:t>
      </w:r>
      <w:r w:rsidR="00151295" w:rsidRPr="003F5009">
        <w:rPr>
          <w:rFonts w:ascii="Arial" w:hAnsi="Arial"/>
          <w:b w:val="0"/>
        </w:rPr>
        <w:t>I do art. 54 da Lei nº 13.</w:t>
      </w:r>
      <w:r w:rsidR="009C0506">
        <w:rPr>
          <w:rFonts w:ascii="Arial" w:hAnsi="Arial"/>
          <w:b w:val="0"/>
        </w:rPr>
        <w:t>3</w:t>
      </w:r>
      <w:r w:rsidR="00151295" w:rsidRPr="003F5009">
        <w:rPr>
          <w:rFonts w:ascii="Arial" w:hAnsi="Arial"/>
          <w:b w:val="0"/>
        </w:rPr>
        <w:t>03 de 30/06/2016</w:t>
      </w:r>
      <w:r w:rsidR="00D94A95" w:rsidRPr="003F5009">
        <w:rPr>
          <w:rFonts w:ascii="Arial" w:hAnsi="Arial"/>
          <w:b w:val="0"/>
        </w:rPr>
        <w:t>.</w:t>
      </w:r>
    </w:p>
    <w:p w:rsidR="003B38E8" w:rsidRPr="003B38E8" w:rsidRDefault="003B38E8" w:rsidP="003B38E8"/>
    <w:p w:rsidR="00B8168E" w:rsidRDefault="00B8168E" w:rsidP="009017F5">
      <w:pPr>
        <w:pStyle w:val="PargrafodaLista"/>
        <w:numPr>
          <w:ilvl w:val="0"/>
          <w:numId w:val="23"/>
        </w:numPr>
      </w:pPr>
      <w:r w:rsidRPr="00B8168E">
        <w:t>Junto com a proposta, a Planilha de Custos do Valor da Proposta do Licitante deverá ser apresentada em meio eletrônico (Microsoft Excel ou software livre), sem proteção do arquivo, objetivando facilitar a conferência da mesma</w:t>
      </w:r>
      <w:r>
        <w:t>.</w:t>
      </w:r>
    </w:p>
    <w:p w:rsidR="003B38E8" w:rsidRDefault="003B38E8" w:rsidP="003B38E8">
      <w:pPr>
        <w:pStyle w:val="PargrafodaLista"/>
        <w:numPr>
          <w:ilvl w:val="0"/>
          <w:numId w:val="0"/>
        </w:numPr>
        <w:ind w:left="720"/>
      </w:pPr>
    </w:p>
    <w:p w:rsidR="00B8168E" w:rsidRDefault="00B8168E" w:rsidP="009017F5">
      <w:pPr>
        <w:pStyle w:val="PargrafodaLista"/>
        <w:numPr>
          <w:ilvl w:val="0"/>
          <w:numId w:val="23"/>
        </w:numPr>
      </w:pPr>
      <w:proofErr w:type="gramStart"/>
      <w:r w:rsidRPr="00B8168E">
        <w:t>As Planilhas de Custos Resumida e Detalhada da Licitante</w:t>
      </w:r>
      <w:proofErr w:type="gramEnd"/>
      <w:r w:rsidRPr="00B8168E">
        <w:t xml:space="preserve"> deverão ser preenchidas e assinadas por profissional competente, conforme os </w:t>
      </w:r>
      <w:proofErr w:type="spellStart"/>
      <w:r w:rsidRPr="00B8168E">
        <w:t>arts</w:t>
      </w:r>
      <w:proofErr w:type="spellEnd"/>
      <w:r w:rsidRPr="00B8168E">
        <w:t>. 13 e 14 da Lei 5194/1966</w:t>
      </w:r>
      <w:r>
        <w:t>.</w:t>
      </w:r>
    </w:p>
    <w:p w:rsidR="003B38E8" w:rsidRDefault="003B38E8" w:rsidP="003B38E8">
      <w:pPr>
        <w:pStyle w:val="PargrafodaLista"/>
        <w:numPr>
          <w:ilvl w:val="0"/>
          <w:numId w:val="0"/>
        </w:numPr>
        <w:ind w:left="720"/>
      </w:pPr>
    </w:p>
    <w:p w:rsidR="003B38E8" w:rsidRDefault="00B8168E" w:rsidP="009017F5">
      <w:pPr>
        <w:pStyle w:val="PargrafodaLista"/>
        <w:numPr>
          <w:ilvl w:val="0"/>
          <w:numId w:val="23"/>
        </w:numPr>
      </w:pPr>
      <w:r w:rsidRPr="00B8168E">
        <w:t>Não poderão ser apresentados preços unitários diferenciados para um mesmo serviço</w:t>
      </w:r>
      <w:r w:rsidR="003B38E8">
        <w:t>.</w:t>
      </w:r>
    </w:p>
    <w:p w:rsidR="003B38E8" w:rsidRPr="003B38E8" w:rsidRDefault="003B38E8" w:rsidP="003B38E8">
      <w:pPr>
        <w:pStyle w:val="PargrafodaLista"/>
        <w:numPr>
          <w:ilvl w:val="0"/>
          <w:numId w:val="0"/>
        </w:numPr>
        <w:ind w:left="720"/>
        <w:rPr>
          <w:szCs w:val="20"/>
        </w:rPr>
      </w:pPr>
    </w:p>
    <w:p w:rsidR="00B8168E" w:rsidRPr="003B38E8" w:rsidRDefault="00B8168E" w:rsidP="009017F5">
      <w:pPr>
        <w:pStyle w:val="PargrafodaLista"/>
        <w:numPr>
          <w:ilvl w:val="0"/>
          <w:numId w:val="23"/>
        </w:numPr>
      </w:pPr>
      <w:r w:rsidRPr="003B38E8">
        <w:rPr>
          <w:szCs w:val="20"/>
        </w:rPr>
        <w:t xml:space="preserve">O licitante deverá preencher os formulários </w:t>
      </w:r>
      <w:r w:rsidR="003B38E8" w:rsidRPr="003B38E8">
        <w:rPr>
          <w:szCs w:val="20"/>
        </w:rPr>
        <w:t xml:space="preserve">próprios </w:t>
      </w:r>
      <w:r w:rsidRPr="003B38E8">
        <w:rPr>
          <w:szCs w:val="20"/>
        </w:rPr>
        <w:t>de composição de preços unitários, ofertados por item e subitem, com clareza</w:t>
      </w:r>
      <w:r w:rsidR="00737E88">
        <w:rPr>
          <w:szCs w:val="20"/>
        </w:rPr>
        <w:t xml:space="preserve">, </w:t>
      </w:r>
      <w:r w:rsidRPr="003B38E8">
        <w:rPr>
          <w:szCs w:val="20"/>
        </w:rPr>
        <w:t>sem rasuras, vedad</w:t>
      </w:r>
      <w:r w:rsidR="00737E88">
        <w:rPr>
          <w:szCs w:val="20"/>
        </w:rPr>
        <w:t>o</w:t>
      </w:r>
      <w:r w:rsidRPr="003B38E8">
        <w:rPr>
          <w:szCs w:val="20"/>
        </w:rPr>
        <w:t xml:space="preserve"> a utilização de unidades genéricas ou indicadas como verba.</w:t>
      </w:r>
    </w:p>
    <w:p w:rsidR="00B8168E" w:rsidRPr="00B8168E" w:rsidRDefault="00B8168E" w:rsidP="00B8168E">
      <w:pPr>
        <w:ind w:left="709" w:firstLine="142"/>
        <w:rPr>
          <w:szCs w:val="20"/>
        </w:rPr>
      </w:pPr>
      <w:r w:rsidRPr="00B8168E">
        <w:rPr>
          <w:szCs w:val="20"/>
        </w:rPr>
        <w:t>-</w:t>
      </w:r>
      <w:r w:rsidRPr="00B8168E">
        <w:rPr>
          <w:szCs w:val="20"/>
        </w:rPr>
        <w:tab/>
        <w:t>A planilha de composição de preços unitários deverá ser apresentada também em meio eletrônico (Microsoft Excel ou software livre), sem proteção do arquivo, objetivando facilitar a conferência da mesma;</w:t>
      </w:r>
    </w:p>
    <w:p w:rsidR="00B8168E" w:rsidRPr="00B8168E" w:rsidRDefault="00B8168E" w:rsidP="00B8168E">
      <w:pPr>
        <w:ind w:left="709" w:firstLine="142"/>
        <w:rPr>
          <w:szCs w:val="20"/>
        </w:rPr>
      </w:pPr>
      <w:r w:rsidRPr="00B8168E">
        <w:rPr>
          <w:szCs w:val="20"/>
        </w:rPr>
        <w:t>-</w:t>
      </w:r>
      <w:r w:rsidRPr="00B8168E">
        <w:rPr>
          <w:szCs w:val="20"/>
        </w:rPr>
        <w:tab/>
        <w:t>O licitante deverá apresentar a planilha de composição de preços unitários em conformidade com a Planilha de Custos do Valor da Proposta do Licitante;</w:t>
      </w:r>
    </w:p>
    <w:p w:rsidR="00B8168E" w:rsidRPr="00B8168E" w:rsidRDefault="00B8168E" w:rsidP="00B8168E">
      <w:pPr>
        <w:ind w:left="709" w:firstLine="142"/>
        <w:rPr>
          <w:szCs w:val="20"/>
        </w:rPr>
      </w:pPr>
      <w:r w:rsidRPr="00B8168E">
        <w:rPr>
          <w:szCs w:val="20"/>
        </w:rPr>
        <w:t>-</w:t>
      </w:r>
      <w:r w:rsidRPr="00B8168E">
        <w:rPr>
          <w:szCs w:val="20"/>
        </w:rPr>
        <w:tab/>
        <w:t xml:space="preserve">O licitante deverá, na composição de preços unitários de mão-de-obra, observar os pisos salariais normativos da categoria correspondente, fixados por lei, dissídio coletivo, acordos ou convenções coletivas de trabalho do(s) município(s) onde </w:t>
      </w:r>
      <w:proofErr w:type="gramStart"/>
      <w:r w:rsidRPr="00B8168E">
        <w:rPr>
          <w:szCs w:val="20"/>
        </w:rPr>
        <w:t>ocorrerá(</w:t>
      </w:r>
      <w:proofErr w:type="spellStart"/>
      <w:proofErr w:type="gramEnd"/>
      <w:r w:rsidRPr="00B8168E">
        <w:rPr>
          <w:szCs w:val="20"/>
        </w:rPr>
        <w:t>ão</w:t>
      </w:r>
      <w:proofErr w:type="spellEnd"/>
      <w:r w:rsidRPr="00B8168E">
        <w:rPr>
          <w:szCs w:val="20"/>
        </w:rPr>
        <w:t>) o(s) serviço(s), ou, quando esta abranger mais de um município;</w:t>
      </w:r>
    </w:p>
    <w:p w:rsidR="00B8168E" w:rsidRPr="00B8168E" w:rsidRDefault="00B8168E" w:rsidP="00B8168E">
      <w:pPr>
        <w:ind w:left="709" w:firstLine="142"/>
        <w:rPr>
          <w:szCs w:val="20"/>
        </w:rPr>
      </w:pPr>
      <w:r w:rsidRPr="00B8168E">
        <w:rPr>
          <w:szCs w:val="20"/>
        </w:rPr>
        <w:t>-</w:t>
      </w:r>
      <w:r w:rsidRPr="00B8168E">
        <w:rPr>
          <w:szCs w:val="20"/>
        </w:rPr>
        <w:tab/>
        <w:t xml:space="preserve">No caso de existirem itens de serviços repetidos na Planilha de Custos do Valor da Proposta do Licitante será necessário apresentar apenas uma composição de preços unitários, referenciando os itens aos quais </w:t>
      </w:r>
      <w:proofErr w:type="spellStart"/>
      <w:r w:rsidRPr="00B8168E">
        <w:rPr>
          <w:szCs w:val="20"/>
        </w:rPr>
        <w:t>pertence</w:t>
      </w:r>
      <w:r w:rsidR="00E6774D" w:rsidRPr="00B8168E">
        <w:rPr>
          <w:szCs w:val="20"/>
        </w:rPr>
        <w:t>à</w:t>
      </w:r>
      <w:proofErr w:type="spellEnd"/>
      <w:r w:rsidR="00E6774D" w:rsidRPr="00B8168E">
        <w:rPr>
          <w:szCs w:val="20"/>
        </w:rPr>
        <w:t xml:space="preserve"> composição</w:t>
      </w:r>
      <w:r w:rsidRPr="00B8168E">
        <w:rPr>
          <w:szCs w:val="20"/>
        </w:rPr>
        <w:t xml:space="preserve">, sendo necessário entregar as referidas composições na mesma ordem e com os mesmos nomes dos serviços constantes das planilhas, devendo estar devidamente assinadas por profissional competente, conforme os </w:t>
      </w:r>
      <w:proofErr w:type="spellStart"/>
      <w:r w:rsidRPr="00B8168E">
        <w:rPr>
          <w:szCs w:val="20"/>
        </w:rPr>
        <w:t>arts</w:t>
      </w:r>
      <w:proofErr w:type="spellEnd"/>
      <w:r w:rsidRPr="00B8168E">
        <w:rPr>
          <w:szCs w:val="20"/>
        </w:rPr>
        <w:t xml:space="preserve">. 13 e 14 da Lei 5194/1966; </w:t>
      </w:r>
    </w:p>
    <w:p w:rsidR="00E5560C" w:rsidRDefault="00B8168E" w:rsidP="00B8168E">
      <w:pPr>
        <w:ind w:left="709" w:firstLine="142"/>
        <w:rPr>
          <w:szCs w:val="20"/>
        </w:rPr>
      </w:pPr>
      <w:r w:rsidRPr="00B8168E">
        <w:rPr>
          <w:szCs w:val="20"/>
        </w:rPr>
        <w:t>-</w:t>
      </w:r>
      <w:r w:rsidRPr="00B8168E">
        <w:rPr>
          <w:szCs w:val="20"/>
        </w:rPr>
        <w:tab/>
        <w:t>As composições de custos unitários poderão ser verificadas quanto à adequação ao projeto, cabendo à comissão solicitar a compatibilidade da composição de custo unitário ao projeto.</w:t>
      </w:r>
    </w:p>
    <w:p w:rsidR="00B8168E" w:rsidRDefault="00B8168E" w:rsidP="00B8168E">
      <w:pPr>
        <w:ind w:left="709" w:hanging="425"/>
      </w:pPr>
    </w:p>
    <w:p w:rsidR="00B8168E" w:rsidRDefault="00B8168E" w:rsidP="00015E5F">
      <w:pPr>
        <w:pStyle w:val="PargrafodaLista"/>
        <w:numPr>
          <w:ilvl w:val="0"/>
          <w:numId w:val="23"/>
        </w:numPr>
      </w:pPr>
      <w:r>
        <w:t>Detalhamento dos Encargos Sociais (Quadro PO-XIV) – Anexo III.</w:t>
      </w:r>
    </w:p>
    <w:p w:rsidR="00B8168E" w:rsidRDefault="00B8168E" w:rsidP="003B38E8">
      <w:pPr>
        <w:pStyle w:val="PargrafodaLista"/>
        <w:numPr>
          <w:ilvl w:val="0"/>
          <w:numId w:val="0"/>
        </w:numPr>
        <w:ind w:left="851"/>
      </w:pPr>
      <w:r>
        <w:t>-</w:t>
      </w:r>
      <w:r w:rsidR="003B38E8">
        <w:tab/>
      </w:r>
      <w:r>
        <w:t xml:space="preserve">Encargos Sociais distintos para mensalistas e </w:t>
      </w:r>
      <w:proofErr w:type="spellStart"/>
      <w:r>
        <w:t>horista</w:t>
      </w:r>
      <w:r w:rsidR="006B3CCD">
        <w:t>s</w:t>
      </w:r>
      <w:proofErr w:type="spellEnd"/>
      <w:r>
        <w:t>.</w:t>
      </w:r>
    </w:p>
    <w:p w:rsidR="00B8168E" w:rsidRDefault="00B8168E" w:rsidP="00B8168E">
      <w:pPr>
        <w:pStyle w:val="PargrafodaLista"/>
        <w:numPr>
          <w:ilvl w:val="0"/>
          <w:numId w:val="0"/>
        </w:numPr>
        <w:ind w:left="1080"/>
      </w:pPr>
    </w:p>
    <w:p w:rsidR="00D94A95" w:rsidRPr="00F34946" w:rsidRDefault="00D94A95" w:rsidP="00015E5F">
      <w:pPr>
        <w:pStyle w:val="PargrafodaLista"/>
        <w:numPr>
          <w:ilvl w:val="0"/>
          <w:numId w:val="23"/>
        </w:numPr>
      </w:pPr>
      <w:r w:rsidRPr="00EB3286">
        <w:t>Detalhamento do BDI (Quadros PO-XV) –</w:t>
      </w:r>
      <w:r w:rsidR="008329C1">
        <w:t xml:space="preserve"> Anexo </w:t>
      </w:r>
      <w:r w:rsidR="00B525CB">
        <w:t>II</w:t>
      </w:r>
      <w:r w:rsidR="00ED7BFA">
        <w:t>I</w:t>
      </w:r>
      <w:r w:rsidRPr="00EB3286">
        <w:t>.</w:t>
      </w:r>
    </w:p>
    <w:p w:rsidR="00D94A95" w:rsidRPr="00EB3286" w:rsidRDefault="00D94A95" w:rsidP="009017F5">
      <w:pPr>
        <w:pStyle w:val="PargrafodaLista"/>
        <w:numPr>
          <w:ilvl w:val="0"/>
          <w:numId w:val="5"/>
        </w:numPr>
      </w:pPr>
      <w:r w:rsidRPr="00EB3286">
        <w:t>Um</w:t>
      </w:r>
      <w:r w:rsidR="000459DF">
        <w:t xml:space="preserve"> quadro para </w:t>
      </w:r>
      <w:r w:rsidRPr="00EB3286">
        <w:t>os serviços (Quadro PO-XV), sob pena de desclassificação da proposta;</w:t>
      </w:r>
    </w:p>
    <w:p w:rsidR="00D94A95" w:rsidRDefault="00D94A95" w:rsidP="009017F5">
      <w:pPr>
        <w:pStyle w:val="PargrafodaLista"/>
        <w:numPr>
          <w:ilvl w:val="0"/>
          <w:numId w:val="5"/>
        </w:numPr>
      </w:pPr>
      <w:r w:rsidRPr="00EB3286">
        <w:t>No preenchimento dos Quadros – Detalhamento do BDI, a licitante deverá considerar todos os impostos, taxas e tributos</w:t>
      </w:r>
      <w:r>
        <w:t>,</w:t>
      </w:r>
      <w:r w:rsidRPr="00EB3286">
        <w:t xml:space="preserve"> conforme previsto na legislação vigente, ou seja, aplicado sobre o preço de venda d</w:t>
      </w:r>
      <w:r w:rsidR="00017E28">
        <w:t>os serviços de engenharia</w:t>
      </w:r>
      <w:r w:rsidRPr="00EB3286">
        <w:t>;</w:t>
      </w:r>
    </w:p>
    <w:p w:rsidR="00D94A95" w:rsidRPr="00C54358" w:rsidRDefault="00D94A95" w:rsidP="009017F5">
      <w:pPr>
        <w:pStyle w:val="PargrafodaLista"/>
        <w:numPr>
          <w:ilvl w:val="0"/>
          <w:numId w:val="5"/>
        </w:numPr>
      </w:pPr>
      <w:r w:rsidRPr="00C54358">
        <w:t xml:space="preserve">Deverá ser considerado </w:t>
      </w:r>
      <w:r w:rsidR="00F34946">
        <w:t xml:space="preserve">na apresentação da proposta, </w:t>
      </w:r>
      <w:r w:rsidRPr="00C54358">
        <w:t xml:space="preserve">o BDI </w:t>
      </w:r>
      <w:r w:rsidR="00F34946">
        <w:t>com</w:t>
      </w:r>
      <w:r w:rsidRPr="00C54358">
        <w:t xml:space="preserve"> ISS </w:t>
      </w:r>
      <w:r w:rsidR="00F34946">
        <w:t xml:space="preserve">de 5% (cinco por cento). Como os serviços </w:t>
      </w:r>
      <w:r w:rsidRPr="00C54358">
        <w:t xml:space="preserve">abrangem municípios distintos, </w:t>
      </w:r>
      <w:r w:rsidR="00F34946">
        <w:t>o valor do pagamento será ajustado de acordo com o ISS do município ao qual serão realizados os serviços</w:t>
      </w:r>
      <w:r w:rsidRPr="00C54358">
        <w:t>;</w:t>
      </w:r>
    </w:p>
    <w:p w:rsidR="00D94A95" w:rsidRPr="00EB3286" w:rsidRDefault="00D94A95" w:rsidP="009017F5">
      <w:pPr>
        <w:pStyle w:val="PargrafodaLista"/>
        <w:numPr>
          <w:ilvl w:val="0"/>
          <w:numId w:val="5"/>
        </w:numPr>
      </w:pPr>
      <w:r w:rsidRPr="00EB3286">
        <w:t xml:space="preserve">Não poderão ser considerados no Detalhamento do BDI, bem como na Planilha de </w:t>
      </w:r>
      <w:r w:rsidR="008965BB">
        <w:t>Custos do Valor da Proposta da Licitante</w:t>
      </w:r>
      <w:r w:rsidRPr="00EB3286">
        <w:t>, os tributos: Imposto de Renda Pessoa Jurídica – IRPJ;</w:t>
      </w:r>
    </w:p>
    <w:p w:rsidR="00524C0E" w:rsidRDefault="00D94A95" w:rsidP="009017F5">
      <w:pPr>
        <w:pStyle w:val="PargrafodaLista"/>
        <w:numPr>
          <w:ilvl w:val="0"/>
          <w:numId w:val="5"/>
        </w:numPr>
      </w:pPr>
      <w:r w:rsidRPr="00EB3286">
        <w:t>No detalhamento do BDI – Quadros PO-XV, não deverá constar do item “Despesas Financeiras” a previsão de despesas relativas aos dissídios;</w:t>
      </w:r>
    </w:p>
    <w:p w:rsidR="00D94A95" w:rsidRPr="002140C5" w:rsidRDefault="00D94A95" w:rsidP="009017F5">
      <w:pPr>
        <w:pStyle w:val="PargrafodaLista"/>
        <w:numPr>
          <w:ilvl w:val="0"/>
          <w:numId w:val="5"/>
        </w:numPr>
      </w:pPr>
      <w:r w:rsidRPr="002140C5">
        <w:t xml:space="preserve">Os custos referentes aos serviços de Administração Local </w:t>
      </w:r>
      <w:r w:rsidR="00713A43">
        <w:t>e Manutenção do Canteiro (AM)</w:t>
      </w:r>
      <w:r w:rsidR="003F277C">
        <w:t xml:space="preserve">, se cabível, </w:t>
      </w:r>
      <w:r w:rsidRPr="002140C5">
        <w:t xml:space="preserve">não poderão ser considerados como despesas indiretas e, portanto, não deverão constar do BDI. A licitante deverá apresentar um montante global especifico </w:t>
      </w:r>
      <w:r w:rsidR="00713A43">
        <w:t xml:space="preserve">para os serviços de “AM” </w:t>
      </w:r>
      <w:r w:rsidRPr="002140C5">
        <w:t xml:space="preserve">na Planilha de </w:t>
      </w:r>
      <w:r w:rsidR="008965BB">
        <w:t>Custos do Valor da Proposta</w:t>
      </w:r>
      <w:r w:rsidRPr="002140C5">
        <w:t>, onde deverão estar contemplados os itens transporte de pessoal, mão</w:t>
      </w:r>
      <w:r w:rsidR="00FB0888">
        <w:t>-</w:t>
      </w:r>
      <w:r w:rsidRPr="002140C5">
        <w:t>de</w:t>
      </w:r>
      <w:r w:rsidR="00FB0888">
        <w:t>-</w:t>
      </w:r>
      <w:r w:rsidRPr="002140C5">
        <w:t>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r w:rsidR="00B23E35">
        <w:t>, quando aplicável</w:t>
      </w:r>
      <w:r w:rsidRPr="002140C5">
        <w:t>.</w:t>
      </w:r>
    </w:p>
    <w:p w:rsidR="00E5560C" w:rsidRPr="00EB3286" w:rsidRDefault="00E5560C" w:rsidP="00E5560C">
      <w:pPr>
        <w:rPr>
          <w:szCs w:val="20"/>
        </w:rPr>
      </w:pPr>
    </w:p>
    <w:p w:rsidR="00E5560C" w:rsidRPr="00EB3286" w:rsidRDefault="00D94A95" w:rsidP="00015E5F">
      <w:pPr>
        <w:pStyle w:val="PargrafodaLista"/>
        <w:numPr>
          <w:ilvl w:val="0"/>
          <w:numId w:val="23"/>
        </w:numPr>
      </w:pPr>
      <w:r w:rsidRPr="00EB3286">
        <w:t xml:space="preserve">Cronograma Físico-Financeiro dos itens da </w:t>
      </w:r>
      <w:r w:rsidR="008965BB">
        <w:t xml:space="preserve">Planilha de Custos do Valor da Proposta da </w:t>
      </w:r>
      <w:proofErr w:type="gramStart"/>
      <w:r w:rsidR="007F56AB">
        <w:t>Licitante(</w:t>
      </w:r>
      <w:proofErr w:type="gramEnd"/>
      <w:r w:rsidR="007F56AB">
        <w:t>Planilha Resumida)</w:t>
      </w:r>
      <w:r w:rsidRPr="00EB3286">
        <w:t xml:space="preserve">, obedecendo às atividades e prazos, com quantitativos </w:t>
      </w:r>
      <w:proofErr w:type="spellStart"/>
      <w:r w:rsidRPr="00EB3286">
        <w:t>previstosmês</w:t>
      </w:r>
      <w:proofErr w:type="spellEnd"/>
      <w:r w:rsidRPr="00EB3286">
        <w:t xml:space="preserve"> a mês, observando o prazo estabelecido para a execução dos serviços, conforme </w:t>
      </w:r>
      <w:r w:rsidR="009E4980">
        <w:t>estabelecido neste</w:t>
      </w:r>
      <w:r w:rsidRPr="00EB3286">
        <w:t xml:space="preserve"> TR</w:t>
      </w:r>
      <w:r>
        <w:t>.</w:t>
      </w:r>
    </w:p>
    <w:p w:rsidR="00E5560C" w:rsidRPr="00EB3286" w:rsidRDefault="00E5560C" w:rsidP="00E5560C">
      <w:pPr>
        <w:rPr>
          <w:szCs w:val="20"/>
        </w:rPr>
      </w:pPr>
    </w:p>
    <w:p w:rsidR="00E5560C" w:rsidRDefault="00E5560C" w:rsidP="009017F5">
      <w:pPr>
        <w:pStyle w:val="Ttulo2"/>
        <w:numPr>
          <w:ilvl w:val="1"/>
          <w:numId w:val="24"/>
        </w:numPr>
        <w:ind w:left="0" w:firstLine="0"/>
      </w:pPr>
      <w:r w:rsidRPr="00EB3286">
        <w:t xml:space="preserve">A Proposta deverá ser datada e assinada pelo representante legal da licitante, com o valor global evidenciado em separado na 1ª folha da proposta, em algarismo e por extenso, baseado nos quantitativos dos serviços e fornecimentos descritos na Planilha de </w:t>
      </w:r>
      <w:r w:rsidR="007F56AB">
        <w:t>Custos do Valor da Proposta da Licitante</w:t>
      </w:r>
      <w:r w:rsidR="00831FB8">
        <w:t xml:space="preserve"> (Planilha Resumida ou Detalhada)</w:t>
      </w:r>
      <w:r w:rsidRPr="00EB3286">
        <w:t xml:space="preserve">, nela incluídos todos os impostos e taxas, emolumentos e tributos, leis, encargos sociais e previdenciários, lucro, despesas indiretas, custos relativos à mão-de-obra, fornecimento de materiais, ferramentas e equipamentos necessários à sua execução, transporte até o local </w:t>
      </w:r>
      <w:r w:rsidR="00017E28">
        <w:t xml:space="preserve">da execução </w:t>
      </w:r>
      <w:r w:rsidRPr="00EB3286">
        <w:t>d</w:t>
      </w:r>
      <w:r w:rsidR="00017E28">
        <w:t>os serviços de engenharia</w:t>
      </w:r>
      <w:r w:rsidRPr="00EB3286">
        <w:t>, carga, transporte e des</w:t>
      </w:r>
      <w:r w:rsidR="002814AF">
        <w:t>carga de materiais</w:t>
      </w:r>
      <w:r w:rsidRPr="00EB3286">
        <w:t>. No caso de omissão das referidas despesas, considerar-se-ão inclusas no valor global ofertado.</w:t>
      </w:r>
    </w:p>
    <w:p w:rsidR="00E5560C" w:rsidRPr="00EB3286" w:rsidRDefault="00E5560C" w:rsidP="00E5560C">
      <w:pPr>
        <w:rPr>
          <w:szCs w:val="20"/>
        </w:rPr>
      </w:pPr>
    </w:p>
    <w:p w:rsidR="00E5560C" w:rsidRDefault="00E5560C" w:rsidP="009017F5">
      <w:pPr>
        <w:pStyle w:val="Ttulo2"/>
        <w:numPr>
          <w:ilvl w:val="1"/>
          <w:numId w:val="24"/>
        </w:numPr>
        <w:ind w:left="0" w:firstLine="0"/>
      </w:pPr>
      <w:r w:rsidRPr="00EB3286">
        <w:t xml:space="preserve">A licitante deverá prever todos os acessos necessários para permitir a chegada dos equipamentos e materiais no local de execução </w:t>
      </w:r>
      <w:proofErr w:type="spellStart"/>
      <w:r w:rsidRPr="00EB3286">
        <w:t>d</w:t>
      </w:r>
      <w:r w:rsidR="00017E28">
        <w:t>os</w:t>
      </w:r>
      <w:r w:rsidRPr="00EB3286">
        <w:t>serviços</w:t>
      </w:r>
      <w:proofErr w:type="spellEnd"/>
      <w:r w:rsidR="00FB0888">
        <w:t xml:space="preserve"> de engenharia</w:t>
      </w:r>
      <w:r w:rsidRPr="00EB3286">
        <w:t xml:space="preserve">, avaliando-se todas as suas dificuldades, pois os eventuais custos decorrentes de qualquer serviço para melhoria destes acessos correrão por conta da </w:t>
      </w:r>
      <w:r w:rsidR="00E80740">
        <w:t>CONTRATADA</w:t>
      </w:r>
      <w:r w:rsidRPr="00EB3286">
        <w:t>.</w:t>
      </w:r>
    </w:p>
    <w:p w:rsidR="00E5560C" w:rsidRDefault="00E5560C" w:rsidP="00E5560C"/>
    <w:p w:rsidR="00E5560C" w:rsidRDefault="00E5560C" w:rsidP="009017F5">
      <w:pPr>
        <w:pStyle w:val="Ttulo2"/>
        <w:numPr>
          <w:ilvl w:val="1"/>
          <w:numId w:val="24"/>
        </w:numPr>
        <w:ind w:left="0" w:firstLine="0"/>
      </w:pPr>
      <w:r w:rsidRPr="00151EA9">
        <w:t>A licitante deverá utilizar, sempre que possível, nos valores propostos, mão</w:t>
      </w:r>
      <w:r w:rsidR="00017E28">
        <w:t>-</w:t>
      </w:r>
      <w:r w:rsidRPr="00151EA9">
        <w:t>de</w:t>
      </w:r>
      <w:r w:rsidR="00017E28">
        <w:t>-</w:t>
      </w:r>
      <w:r w:rsidRPr="00151EA9">
        <w:t>obra, materiais, tecnologias e matérias primas existentes no local da execução d</w:t>
      </w:r>
      <w:r w:rsidR="00017E28">
        <w:t>o</w:t>
      </w:r>
      <w:r w:rsidRPr="00151EA9">
        <w:t>s serviços</w:t>
      </w:r>
      <w:r w:rsidR="00FF36C1">
        <w:t xml:space="preserve"> de engenharia</w:t>
      </w:r>
      <w:r w:rsidRPr="00151EA9">
        <w:t>, desde que não se produzam prejuízos à eficiência na execução do objeto e que seja respeitado o limite do orçamento estimado para a contratação.</w:t>
      </w:r>
    </w:p>
    <w:p w:rsidR="005E4F6E" w:rsidRPr="00586AC6" w:rsidRDefault="005E4F6E" w:rsidP="005E4F6E">
      <w:pPr>
        <w:rPr>
          <w:color w:val="FF0000"/>
        </w:rPr>
      </w:pPr>
    </w:p>
    <w:p w:rsidR="005E4F6E" w:rsidRPr="00815D37" w:rsidRDefault="005E4F6E" w:rsidP="009017F5">
      <w:pPr>
        <w:pStyle w:val="Ttulo2"/>
        <w:numPr>
          <w:ilvl w:val="1"/>
          <w:numId w:val="24"/>
        </w:numPr>
        <w:ind w:left="0" w:firstLine="0"/>
        <w:rPr>
          <w:b/>
          <w:color w:val="FF0000"/>
        </w:rPr>
      </w:pPr>
      <w:r w:rsidRPr="00B432F8">
        <w:rPr>
          <w:b/>
        </w:rPr>
        <w:t xml:space="preserve">A licitante deverá </w:t>
      </w:r>
      <w:r w:rsidR="00586AC6" w:rsidRPr="00B432F8">
        <w:rPr>
          <w:b/>
        </w:rPr>
        <w:t>apresenta</w:t>
      </w:r>
      <w:r w:rsidR="00F802F8" w:rsidRPr="00B432F8">
        <w:rPr>
          <w:b/>
        </w:rPr>
        <w:t>r proposta para todo o</w:t>
      </w:r>
      <w:r w:rsidR="00313A2D">
        <w:rPr>
          <w:b/>
        </w:rPr>
        <w:t xml:space="preserve"> Lote, que é composto por 12(</w:t>
      </w:r>
      <w:r w:rsidR="008E11D0" w:rsidRPr="00B432F8">
        <w:rPr>
          <w:b/>
        </w:rPr>
        <w:t>doze</w:t>
      </w:r>
      <w:r w:rsidR="00313A2D">
        <w:rPr>
          <w:b/>
        </w:rPr>
        <w:t>)</w:t>
      </w:r>
      <w:r w:rsidR="00586AC6" w:rsidRPr="00B432F8">
        <w:rPr>
          <w:b/>
        </w:rPr>
        <w:t xml:space="preserve"> itens </w:t>
      </w:r>
      <w:r w:rsidR="008E11D0" w:rsidRPr="00B432F8">
        <w:rPr>
          <w:b/>
        </w:rPr>
        <w:t xml:space="preserve">(conforme planilha resumo </w:t>
      </w:r>
      <w:r w:rsidR="00E04391" w:rsidRPr="00B432F8">
        <w:rPr>
          <w:b/>
        </w:rPr>
        <w:t>do Lote 01</w:t>
      </w:r>
      <w:r w:rsidR="008E11D0" w:rsidRPr="00B432F8">
        <w:rPr>
          <w:b/>
        </w:rPr>
        <w:t>)</w:t>
      </w:r>
      <w:r w:rsidRPr="00B432F8">
        <w:rPr>
          <w:b/>
        </w:rPr>
        <w:t xml:space="preserve">, </w:t>
      </w:r>
      <w:r w:rsidR="00586AC6" w:rsidRPr="00B432F8">
        <w:rPr>
          <w:b/>
        </w:rPr>
        <w:t>sob pena de desclassificação</w:t>
      </w:r>
      <w:r w:rsidRPr="00B432F8">
        <w:rPr>
          <w:b/>
        </w:rPr>
        <w:t>.</w:t>
      </w:r>
    </w:p>
    <w:p w:rsidR="002C6CCF" w:rsidRPr="00BF720C" w:rsidRDefault="002C6CCF" w:rsidP="002C6CCF"/>
    <w:p w:rsidR="00CD783C" w:rsidRPr="00CD783C" w:rsidRDefault="00CD783C" w:rsidP="00CD783C"/>
    <w:p w:rsidR="005B2B2E" w:rsidRPr="00EB3286" w:rsidRDefault="005B2B2E" w:rsidP="009017F5">
      <w:pPr>
        <w:pStyle w:val="Ttulo1"/>
        <w:numPr>
          <w:ilvl w:val="0"/>
          <w:numId w:val="24"/>
        </w:numPr>
      </w:pPr>
      <w:bookmarkStart w:id="14" w:name="_Toc18400276"/>
      <w:r w:rsidRPr="00EB3286">
        <w:t>DOCUMENTAÇÃO DE HABILITAÇÃO</w:t>
      </w:r>
      <w:bookmarkEnd w:id="14"/>
    </w:p>
    <w:p w:rsidR="005B2B2E" w:rsidRPr="00EB3286" w:rsidRDefault="005B2B2E" w:rsidP="005B2B2E">
      <w:pPr>
        <w:rPr>
          <w:szCs w:val="20"/>
        </w:rPr>
      </w:pPr>
    </w:p>
    <w:p w:rsidR="005B2B2E" w:rsidRPr="00833B53" w:rsidRDefault="005B2B2E" w:rsidP="009017F5">
      <w:pPr>
        <w:pStyle w:val="Ttulo2"/>
        <w:numPr>
          <w:ilvl w:val="1"/>
          <w:numId w:val="24"/>
        </w:numPr>
        <w:ind w:left="0" w:firstLine="0"/>
        <w:rPr>
          <w:b/>
        </w:rPr>
      </w:pPr>
      <w:r w:rsidRPr="00833B53">
        <w:rPr>
          <w:b/>
        </w:rPr>
        <w:t>QUALIFICAÇÃO TÉCNICA</w:t>
      </w:r>
    </w:p>
    <w:p w:rsidR="005B2B2E" w:rsidRDefault="005B2B2E" w:rsidP="005B2B2E">
      <w:pPr>
        <w:rPr>
          <w:szCs w:val="20"/>
        </w:rPr>
      </w:pPr>
    </w:p>
    <w:p w:rsidR="008D4020" w:rsidRDefault="008D4020" w:rsidP="009017F5">
      <w:pPr>
        <w:pStyle w:val="Ttulo3"/>
        <w:numPr>
          <w:ilvl w:val="2"/>
          <w:numId w:val="24"/>
        </w:numPr>
        <w:ind w:left="709" w:hanging="709"/>
      </w:pPr>
      <w:r>
        <w:t>A Licitante deverá apresentar os seguintes documentos:</w:t>
      </w:r>
    </w:p>
    <w:p w:rsidR="005B2B2E" w:rsidRPr="00EB3286" w:rsidRDefault="005B2B2E" w:rsidP="001526C7">
      <w:pPr>
        <w:rPr>
          <w:szCs w:val="20"/>
        </w:rPr>
      </w:pPr>
    </w:p>
    <w:p w:rsidR="008D4020" w:rsidRDefault="008D4020" w:rsidP="009017F5">
      <w:pPr>
        <w:pStyle w:val="PargrafodaLista"/>
        <w:numPr>
          <w:ilvl w:val="0"/>
          <w:numId w:val="19"/>
        </w:numPr>
      </w:pPr>
      <w:r w:rsidRPr="008D4020">
        <w:t>Registro ou inscrição da empresa no C</w:t>
      </w:r>
      <w:r w:rsidR="00AA5A1D">
        <w:t>onselho Regional de Engenharia</w:t>
      </w:r>
      <w:r w:rsidRPr="008D4020">
        <w:t xml:space="preserve"> e Agronomia (CREA)</w:t>
      </w:r>
      <w:r w:rsidR="003D6A42">
        <w:t xml:space="preserve"> ou Conselho de Arquitetura e Urbanismo (CAU), </w:t>
      </w:r>
      <w:r w:rsidRPr="008D4020">
        <w:t xml:space="preserve">demonstrando o ramo de atividade pertinente e compatível com o objeto </w:t>
      </w:r>
      <w:r w:rsidR="008F14A3" w:rsidRPr="00DE6DFE">
        <w:t>deste Termo de Referência</w:t>
      </w:r>
      <w:r w:rsidR="003D6A42">
        <w:t>, conforme legislação vigente</w:t>
      </w:r>
      <w:r w:rsidR="00484250">
        <w:t>.</w:t>
      </w:r>
    </w:p>
    <w:p w:rsidR="00484250" w:rsidRDefault="00484250" w:rsidP="00484250">
      <w:pPr>
        <w:pStyle w:val="PargrafodaLista"/>
        <w:numPr>
          <w:ilvl w:val="0"/>
          <w:numId w:val="0"/>
        </w:numPr>
        <w:ind w:left="720"/>
      </w:pPr>
    </w:p>
    <w:p w:rsidR="00B8168E" w:rsidRDefault="00B8168E" w:rsidP="009017F5">
      <w:pPr>
        <w:pStyle w:val="PargrafodaLista"/>
        <w:numPr>
          <w:ilvl w:val="0"/>
          <w:numId w:val="19"/>
        </w:numPr>
      </w:pPr>
      <w:r w:rsidRPr="001034BF">
        <w:t>D</w:t>
      </w:r>
      <w:r w:rsidR="00FE2114">
        <w:t xml:space="preserve">eclaração de </w:t>
      </w:r>
      <w:r w:rsidRPr="001034BF">
        <w:t>C</w:t>
      </w:r>
      <w:r w:rsidR="00FE2114">
        <w:t xml:space="preserve">onhecimento do </w:t>
      </w:r>
      <w:r w:rsidRPr="001034BF">
        <w:t>L</w:t>
      </w:r>
      <w:r w:rsidR="00FE2114">
        <w:t xml:space="preserve">ocal de Execução dos </w:t>
      </w:r>
      <w:r w:rsidRPr="001034BF">
        <w:t>S</w:t>
      </w:r>
      <w:r w:rsidR="00FE2114">
        <w:t xml:space="preserve">erviços </w:t>
      </w:r>
      <w:r w:rsidRPr="001034BF">
        <w:t>(conforme subitem 6.4.5. e Anexo II) informando que tem conhecimento do local onde serão executad</w:t>
      </w:r>
      <w:r w:rsidR="00017E28">
        <w:t>o</w:t>
      </w:r>
      <w:r w:rsidRPr="001034BF">
        <w:t xml:space="preserve">s </w:t>
      </w:r>
      <w:r w:rsidR="00017E28">
        <w:t>o</w:t>
      </w:r>
      <w:r w:rsidRPr="001034BF">
        <w:t xml:space="preserve">s serviços de engenharia, emitida pelo próprio licitante, assinada pelo(s) o(s) </w:t>
      </w:r>
      <w:proofErr w:type="gramStart"/>
      <w:r w:rsidRPr="001034BF">
        <w:t>Responsável(</w:t>
      </w:r>
      <w:proofErr w:type="gramEnd"/>
      <w:r w:rsidRPr="001034BF">
        <w:t>is) Técnico(s) ou Representante Legal.</w:t>
      </w:r>
    </w:p>
    <w:p w:rsidR="00484250" w:rsidRPr="001034BF" w:rsidRDefault="00484250" w:rsidP="00484250">
      <w:pPr>
        <w:pStyle w:val="PargrafodaLista"/>
        <w:numPr>
          <w:ilvl w:val="0"/>
          <w:numId w:val="0"/>
        </w:numPr>
        <w:ind w:left="720"/>
      </w:pPr>
    </w:p>
    <w:p w:rsidR="008802D6" w:rsidRDefault="005B2B2E" w:rsidP="009017F5">
      <w:pPr>
        <w:pStyle w:val="PargrafodaLista"/>
        <w:numPr>
          <w:ilvl w:val="0"/>
          <w:numId w:val="19"/>
        </w:numPr>
      </w:pPr>
      <w:r w:rsidRPr="001034BF">
        <w:t xml:space="preserve">Atestado(s) de capacidade técnica, em nome da empresa, expedido </w:t>
      </w:r>
      <w:r w:rsidRPr="008D0916">
        <w:t xml:space="preserve">por pessoa jurídica de direito público ou privado, acompanhado(s) da(s) respectiva(s) </w:t>
      </w:r>
      <w:proofErr w:type="gramStart"/>
      <w:r w:rsidRPr="008D0916">
        <w:t>Certidão(</w:t>
      </w:r>
      <w:proofErr w:type="spellStart"/>
      <w:proofErr w:type="gramEnd"/>
      <w:r w:rsidRPr="008D0916">
        <w:t>ões</w:t>
      </w:r>
      <w:proofErr w:type="spellEnd"/>
      <w:r w:rsidRPr="008D0916">
        <w:t>) de Acervo Técnico – CAT</w:t>
      </w:r>
      <w:r w:rsidR="00B737B5" w:rsidRPr="008D0916">
        <w:t xml:space="preserve"> – dos profissionais</w:t>
      </w:r>
      <w:r w:rsidRPr="008D0916">
        <w:t xml:space="preserve">, expedida(s) </w:t>
      </w:r>
      <w:r w:rsidR="000D2742">
        <w:t xml:space="preserve">pelo CREA </w:t>
      </w:r>
      <w:r w:rsidR="0046313D">
        <w:t xml:space="preserve">ou CAU </w:t>
      </w:r>
      <w:r w:rsidR="00C43E95">
        <w:t xml:space="preserve">da região </w:t>
      </w:r>
      <w:r w:rsidR="000D2742">
        <w:t xml:space="preserve">onde os serviços foram </w:t>
      </w:r>
      <w:r w:rsidR="000D2742" w:rsidRPr="00B67FDF">
        <w:t>executados</w:t>
      </w:r>
      <w:r w:rsidRPr="00B67FDF">
        <w:t xml:space="preserve">, que comprove que a licitante </w:t>
      </w:r>
      <w:r w:rsidR="00E10B3D" w:rsidRPr="00E10B3D">
        <w:t>tenha executado serviços de p</w:t>
      </w:r>
      <w:r w:rsidR="00586AC6">
        <w:t xml:space="preserve">erfuração, </w:t>
      </w:r>
      <w:r w:rsidR="00E10B3D" w:rsidRPr="00E10B3D">
        <w:t>m</w:t>
      </w:r>
      <w:r w:rsidR="00586AC6">
        <w:t>o</w:t>
      </w:r>
      <w:r w:rsidR="00E10B3D" w:rsidRPr="00E10B3D">
        <w:t>nta</w:t>
      </w:r>
      <w:r w:rsidR="00586AC6">
        <w:t xml:space="preserve">gem e instalações </w:t>
      </w:r>
      <w:proofErr w:type="spellStart"/>
      <w:r w:rsidR="00586AC6">
        <w:t>d</w:t>
      </w:r>
      <w:r w:rsidR="00E10B3D" w:rsidRPr="00E10B3D">
        <w:t>ep</w:t>
      </w:r>
      <w:r w:rsidR="00586AC6">
        <w:t>oços</w:t>
      </w:r>
      <w:proofErr w:type="spellEnd"/>
      <w:r w:rsidR="00586AC6">
        <w:t xml:space="preserve"> tubulares, </w:t>
      </w:r>
      <w:r w:rsidR="00E10B3D" w:rsidRPr="00E10B3D">
        <w:t>em condições similares</w:t>
      </w:r>
      <w:r w:rsidR="00FD645C" w:rsidRPr="00B67FDF">
        <w:rPr>
          <w:bCs/>
        </w:rPr>
        <w:t xml:space="preserve"> desta licitação</w:t>
      </w:r>
      <w:r w:rsidR="008D0916" w:rsidRPr="00B67FDF">
        <w:t xml:space="preserve">, executadas </w:t>
      </w:r>
      <w:r w:rsidR="008D0916" w:rsidRPr="008D0916">
        <w:t xml:space="preserve">com técnicas construtivas semelhantes ou superiores às requeridas para execução </w:t>
      </w:r>
      <w:r w:rsidR="00FC5856">
        <w:t>conforme relação</w:t>
      </w:r>
      <w:r w:rsidR="008D0916" w:rsidRPr="008D0916">
        <w:t xml:space="preserve"> abaixo</w:t>
      </w:r>
      <w:r w:rsidR="00FD645C" w:rsidRPr="00907015">
        <w:t>,</w:t>
      </w:r>
      <w:r w:rsidR="008D0916" w:rsidRPr="008D0916">
        <w:t xml:space="preserve">com os </w:t>
      </w:r>
      <w:r w:rsidR="00FD645C">
        <w:t>seguintes quantitativos mínimos:</w:t>
      </w:r>
    </w:p>
    <w:p w:rsidR="00B93526" w:rsidRDefault="00B93526" w:rsidP="00B93526"/>
    <w:p w:rsidR="00877079" w:rsidRDefault="00877079" w:rsidP="00B93526"/>
    <w:tbl>
      <w:tblPr>
        <w:tblW w:w="8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6150"/>
        <w:gridCol w:w="2288"/>
      </w:tblGrid>
      <w:tr w:rsidR="00114F6A" w:rsidRPr="00AE0DB0" w:rsidTr="00114F6A">
        <w:trPr>
          <w:trHeight w:val="133"/>
          <w:jc w:val="center"/>
        </w:trPr>
        <w:tc>
          <w:tcPr>
            <w:tcW w:w="6150" w:type="dxa"/>
            <w:tcBorders>
              <w:top w:val="single" w:sz="4" w:space="0" w:color="auto"/>
            </w:tcBorders>
            <w:shd w:val="clear" w:color="000000" w:fill="D8D8D8"/>
            <w:vAlign w:val="center"/>
            <w:hideMark/>
          </w:tcPr>
          <w:p w:rsidR="00114F6A" w:rsidRPr="00BF720C" w:rsidRDefault="00114F6A" w:rsidP="00877079">
            <w:pPr>
              <w:jc w:val="center"/>
              <w:rPr>
                <w:b/>
                <w:bCs/>
                <w:szCs w:val="20"/>
                <w:lang w:eastAsia="pt-BR"/>
              </w:rPr>
            </w:pPr>
            <w:r w:rsidRPr="00BF720C">
              <w:rPr>
                <w:b/>
                <w:bCs/>
                <w:szCs w:val="20"/>
                <w:lang w:eastAsia="pt-BR"/>
              </w:rPr>
              <w:t>SERVIÇOS</w:t>
            </w:r>
          </w:p>
        </w:tc>
        <w:tc>
          <w:tcPr>
            <w:tcW w:w="2288" w:type="dxa"/>
            <w:tcBorders>
              <w:top w:val="single" w:sz="4" w:space="0" w:color="auto"/>
            </w:tcBorders>
            <w:shd w:val="clear" w:color="000000" w:fill="D8D8D8"/>
          </w:tcPr>
          <w:p w:rsidR="00114F6A" w:rsidRPr="00AE0DB0" w:rsidRDefault="00114F6A" w:rsidP="007F4614">
            <w:pPr>
              <w:jc w:val="center"/>
              <w:rPr>
                <w:b/>
                <w:bCs/>
                <w:szCs w:val="20"/>
                <w:lang w:eastAsia="pt-BR"/>
              </w:rPr>
            </w:pPr>
            <w:r>
              <w:rPr>
                <w:b/>
                <w:bCs/>
                <w:szCs w:val="20"/>
                <w:lang w:eastAsia="pt-BR"/>
              </w:rPr>
              <w:t>QUANTIDADE MÍNIMA</w:t>
            </w:r>
          </w:p>
        </w:tc>
      </w:tr>
      <w:tr w:rsidR="00114F6A" w:rsidRPr="00EB3286" w:rsidTr="00114F6A">
        <w:trPr>
          <w:trHeight w:val="133"/>
          <w:jc w:val="center"/>
        </w:trPr>
        <w:tc>
          <w:tcPr>
            <w:tcW w:w="6150" w:type="dxa"/>
            <w:hideMark/>
          </w:tcPr>
          <w:p w:rsidR="00114F6A" w:rsidRDefault="00114F6A" w:rsidP="00821F91">
            <w:proofErr w:type="spellStart"/>
            <w:r>
              <w:t>P</w:t>
            </w:r>
            <w:r w:rsidRPr="00F72200">
              <w:t>erfura</w:t>
            </w:r>
            <w:r>
              <w:t>ção</w:t>
            </w:r>
            <w:r w:rsidRPr="00F72200">
              <w:t>e</w:t>
            </w:r>
            <w:proofErr w:type="spellEnd"/>
            <w:r w:rsidRPr="00F72200">
              <w:t xml:space="preserve"> instala</w:t>
            </w:r>
            <w:r>
              <w:t xml:space="preserve">ção de poço tubular </w:t>
            </w:r>
            <w:r w:rsidRPr="00F72200">
              <w:t>em área de rochas calcárias</w:t>
            </w:r>
            <w:r>
              <w:t xml:space="preserve"> ou similar.</w:t>
            </w:r>
          </w:p>
        </w:tc>
        <w:tc>
          <w:tcPr>
            <w:tcW w:w="2288" w:type="dxa"/>
          </w:tcPr>
          <w:p w:rsidR="00114F6A" w:rsidRPr="00BF720C" w:rsidRDefault="0029728E" w:rsidP="00787AB9">
            <w:pPr>
              <w:jc w:val="center"/>
              <w:rPr>
                <w:highlight w:val="yellow"/>
              </w:rPr>
            </w:pPr>
            <w:r>
              <w:t>4</w:t>
            </w:r>
            <w:r w:rsidR="00C33B92" w:rsidRPr="00C33B92">
              <w:t>0</w:t>
            </w:r>
            <w:r w:rsidR="00114F6A" w:rsidRPr="00C33B92">
              <w:t xml:space="preserve"> unidades</w:t>
            </w:r>
          </w:p>
        </w:tc>
      </w:tr>
      <w:tr w:rsidR="00114F6A" w:rsidRPr="00EB3286" w:rsidTr="00114F6A">
        <w:trPr>
          <w:trHeight w:val="133"/>
          <w:jc w:val="center"/>
        </w:trPr>
        <w:tc>
          <w:tcPr>
            <w:tcW w:w="6150" w:type="dxa"/>
          </w:tcPr>
          <w:p w:rsidR="00114F6A" w:rsidRDefault="00114F6A" w:rsidP="00821F91">
            <w:proofErr w:type="spellStart"/>
            <w:r>
              <w:t>P</w:t>
            </w:r>
            <w:r w:rsidRPr="00F72200">
              <w:t>erfura</w:t>
            </w:r>
            <w:r>
              <w:t>ção</w:t>
            </w:r>
            <w:r w:rsidRPr="00F72200">
              <w:t>e</w:t>
            </w:r>
            <w:proofErr w:type="spellEnd"/>
            <w:r w:rsidRPr="00F72200">
              <w:t xml:space="preserve"> instala</w:t>
            </w:r>
            <w:r>
              <w:t xml:space="preserve">ção de poço tubular </w:t>
            </w:r>
            <w:r w:rsidRPr="00F72200">
              <w:t xml:space="preserve">em área </w:t>
            </w:r>
            <w:r>
              <w:t xml:space="preserve">de </w:t>
            </w:r>
            <w:r w:rsidRPr="00F72200">
              <w:t xml:space="preserve">rochas </w:t>
            </w:r>
            <w:r>
              <w:t xml:space="preserve">cristalinas / </w:t>
            </w:r>
            <w:proofErr w:type="gramStart"/>
            <w:r w:rsidRPr="00F72200">
              <w:t>metassedimentares</w:t>
            </w:r>
            <w:r>
              <w:t xml:space="preserve"> ou similar</w:t>
            </w:r>
            <w:proofErr w:type="gramEnd"/>
            <w:r>
              <w:t>.</w:t>
            </w:r>
          </w:p>
        </w:tc>
        <w:tc>
          <w:tcPr>
            <w:tcW w:w="2288" w:type="dxa"/>
          </w:tcPr>
          <w:p w:rsidR="00114F6A" w:rsidRPr="00BF720C" w:rsidRDefault="0029728E" w:rsidP="00C33B92">
            <w:pPr>
              <w:jc w:val="center"/>
              <w:rPr>
                <w:highlight w:val="yellow"/>
              </w:rPr>
            </w:pPr>
            <w:r>
              <w:t>65</w:t>
            </w:r>
            <w:r w:rsidR="00114F6A" w:rsidRPr="00C33B92">
              <w:t xml:space="preserve"> unidades</w:t>
            </w:r>
          </w:p>
        </w:tc>
      </w:tr>
      <w:tr w:rsidR="00114F6A" w:rsidRPr="00EB3286" w:rsidTr="00114F6A">
        <w:trPr>
          <w:trHeight w:val="133"/>
          <w:jc w:val="center"/>
        </w:trPr>
        <w:tc>
          <w:tcPr>
            <w:tcW w:w="6150" w:type="dxa"/>
          </w:tcPr>
          <w:p w:rsidR="00114F6A" w:rsidRDefault="00114F6A" w:rsidP="00821F91">
            <w:r>
              <w:t>P</w:t>
            </w:r>
            <w:r w:rsidRPr="00F72200">
              <w:t>erfura</w:t>
            </w:r>
            <w:r>
              <w:t>ção</w:t>
            </w:r>
            <w:r w:rsidRPr="00F72200">
              <w:t xml:space="preserve"> e instala</w:t>
            </w:r>
            <w:r>
              <w:t xml:space="preserve">ção de poço tubular </w:t>
            </w:r>
            <w:proofErr w:type="spellStart"/>
            <w:r w:rsidRPr="00F72200">
              <w:t>emárea</w:t>
            </w:r>
            <w:proofErr w:type="spellEnd"/>
            <w:r>
              <w:t xml:space="preserve"> de rochas </w:t>
            </w:r>
            <w:proofErr w:type="gramStart"/>
            <w:r w:rsidRPr="00F72200">
              <w:t>sedimentares</w:t>
            </w:r>
            <w:r>
              <w:t xml:space="preserve"> ou similar</w:t>
            </w:r>
            <w:proofErr w:type="gramEnd"/>
            <w:r>
              <w:t>.</w:t>
            </w:r>
          </w:p>
        </w:tc>
        <w:tc>
          <w:tcPr>
            <w:tcW w:w="2288" w:type="dxa"/>
          </w:tcPr>
          <w:p w:rsidR="00114F6A" w:rsidRPr="00BF720C" w:rsidRDefault="0029728E" w:rsidP="0029728E">
            <w:pPr>
              <w:jc w:val="center"/>
              <w:rPr>
                <w:highlight w:val="yellow"/>
              </w:rPr>
            </w:pPr>
            <w:r>
              <w:t>20</w:t>
            </w:r>
            <w:r w:rsidR="00114F6A" w:rsidRPr="00C33B92">
              <w:t xml:space="preserve"> unidades</w:t>
            </w:r>
          </w:p>
        </w:tc>
      </w:tr>
    </w:tbl>
    <w:p w:rsidR="008C58FE" w:rsidRDefault="008C58FE" w:rsidP="00713A43"/>
    <w:p w:rsidR="00877079" w:rsidRDefault="00877079" w:rsidP="00713A43"/>
    <w:p w:rsidR="00877079" w:rsidRPr="00EB3286" w:rsidRDefault="00877079" w:rsidP="00713A43"/>
    <w:p w:rsidR="00737E88" w:rsidRPr="00BF732F" w:rsidRDefault="00C0289B" w:rsidP="009017F5">
      <w:pPr>
        <w:pStyle w:val="PargrafodaLista"/>
        <w:numPr>
          <w:ilvl w:val="0"/>
          <w:numId w:val="14"/>
        </w:numPr>
        <w:ind w:left="1416"/>
        <w:rPr>
          <w:bCs/>
        </w:rPr>
      </w:pPr>
      <w:r w:rsidRPr="00012C70">
        <w:rPr>
          <w:szCs w:val="20"/>
        </w:rPr>
        <w:t>Os quantitativos mínimos exigidos para cada</w:t>
      </w:r>
      <w:r w:rsidR="00910AD6">
        <w:rPr>
          <w:szCs w:val="20"/>
        </w:rPr>
        <w:t xml:space="preserve"> item</w:t>
      </w:r>
      <w:r w:rsidRPr="00012C70">
        <w:rPr>
          <w:szCs w:val="20"/>
        </w:rPr>
        <w:t xml:space="preserve"> deverão ser comprovados diante da apresentação de atestados para efeito de comprovação de qualif</w:t>
      </w:r>
      <w:r w:rsidR="005C0C19">
        <w:rPr>
          <w:szCs w:val="20"/>
        </w:rPr>
        <w:t>icação técnica. Será permitid</w:t>
      </w:r>
      <w:r w:rsidR="008C58FE">
        <w:rPr>
          <w:szCs w:val="20"/>
        </w:rPr>
        <w:t>o</w:t>
      </w:r>
      <w:r w:rsidR="005C0C19">
        <w:rPr>
          <w:szCs w:val="20"/>
        </w:rPr>
        <w:t xml:space="preserve"> o somatório</w:t>
      </w:r>
      <w:r w:rsidRPr="00012C70">
        <w:rPr>
          <w:szCs w:val="20"/>
        </w:rPr>
        <w:t xml:space="preserve"> de atestados para cada </w:t>
      </w:r>
      <w:r w:rsidR="008C58FE">
        <w:rPr>
          <w:szCs w:val="20"/>
        </w:rPr>
        <w:t>item</w:t>
      </w:r>
      <w:r w:rsidRPr="00012C70">
        <w:rPr>
          <w:szCs w:val="20"/>
        </w:rPr>
        <w:t>, visando atingir os quantitativos mínimos necessário</w:t>
      </w:r>
      <w:r w:rsidR="00BF732F">
        <w:rPr>
          <w:szCs w:val="20"/>
        </w:rPr>
        <w:t>s;</w:t>
      </w:r>
    </w:p>
    <w:p w:rsidR="00BF732F" w:rsidRPr="00737E88" w:rsidRDefault="00BF732F" w:rsidP="00BF732F">
      <w:pPr>
        <w:pStyle w:val="PargrafodaLista"/>
        <w:numPr>
          <w:ilvl w:val="0"/>
          <w:numId w:val="0"/>
        </w:numPr>
        <w:ind w:left="1416"/>
        <w:rPr>
          <w:bCs/>
        </w:rPr>
      </w:pPr>
    </w:p>
    <w:p w:rsidR="00AB5AEA" w:rsidRPr="00E66B67" w:rsidRDefault="00794273" w:rsidP="009017F5">
      <w:pPr>
        <w:pStyle w:val="PargrafodaLista"/>
        <w:numPr>
          <w:ilvl w:val="0"/>
          <w:numId w:val="14"/>
        </w:numPr>
        <w:ind w:left="1416"/>
        <w:rPr>
          <w:bCs/>
        </w:rPr>
      </w:pPr>
      <w:r w:rsidRPr="00C34142">
        <w:t xml:space="preserve">Definem-se como </w:t>
      </w:r>
      <w:r w:rsidR="00484250">
        <w:t>serviços</w:t>
      </w:r>
      <w:r w:rsidRPr="00C34142">
        <w:t xml:space="preserve"> similares</w:t>
      </w:r>
      <w:r w:rsidRPr="00E66B67">
        <w:t xml:space="preserve">: </w:t>
      </w:r>
      <w:r w:rsidR="00E66B67">
        <w:t>serviços construtivamente afins</w:t>
      </w:r>
      <w:r w:rsidR="00484250">
        <w:t xml:space="preserve">, como </w:t>
      </w:r>
      <w:r w:rsidR="00910AD6">
        <w:t>perfuração de poços tubulares em áreas de rochas</w:t>
      </w:r>
      <w:r w:rsidR="00BF732F">
        <w:t>;</w:t>
      </w:r>
    </w:p>
    <w:p w:rsidR="00AB5AEA" w:rsidRPr="00DC2BD2" w:rsidRDefault="00AB5AEA" w:rsidP="00DF2DAA">
      <w:pPr>
        <w:pStyle w:val="PargrafodaLista"/>
        <w:numPr>
          <w:ilvl w:val="0"/>
          <w:numId w:val="0"/>
        </w:numPr>
        <w:ind w:left="1416"/>
        <w:rPr>
          <w:color w:val="FF0000"/>
        </w:rPr>
      </w:pPr>
    </w:p>
    <w:p w:rsidR="00794273" w:rsidRPr="00B67FDF" w:rsidRDefault="00794273" w:rsidP="009017F5">
      <w:pPr>
        <w:pStyle w:val="PargrafodaLista"/>
        <w:numPr>
          <w:ilvl w:val="0"/>
          <w:numId w:val="14"/>
        </w:numPr>
        <w:ind w:left="1416"/>
      </w:pPr>
      <w:r w:rsidRPr="00B67FDF">
        <w:t xml:space="preserve">Definem-se como </w:t>
      </w:r>
      <w:r w:rsidR="00484250">
        <w:t>serviços</w:t>
      </w:r>
      <w:r w:rsidRPr="00B67FDF">
        <w:t xml:space="preserve"> de porte e complexidade similares àquelas que apresentam grandezas e características técnicas semelhantes às descritas </w:t>
      </w:r>
      <w:r w:rsidR="00FD59AE">
        <w:t>em Especificações Técnicas d</w:t>
      </w:r>
      <w:r w:rsidRPr="00B67FDF">
        <w:t xml:space="preserve">o </w:t>
      </w:r>
      <w:r w:rsidR="00B525CB" w:rsidRPr="00B67FDF">
        <w:t>Projeto Básico – Anex</w:t>
      </w:r>
      <w:r w:rsidR="000A1746" w:rsidRPr="00B67FDF">
        <w:t>o V</w:t>
      </w:r>
      <w:r w:rsidR="005C0C19">
        <w:t>I</w:t>
      </w:r>
      <w:r w:rsidR="00480C5F" w:rsidRPr="00B67FDF">
        <w:t>I</w:t>
      </w:r>
      <w:r w:rsidRPr="00B67FDF">
        <w:t xml:space="preserve">, parte integrante deste </w:t>
      </w:r>
      <w:r w:rsidR="002C463C" w:rsidRPr="00B67FDF">
        <w:t>Termo de Referência</w:t>
      </w:r>
      <w:r w:rsidRPr="00B67FDF">
        <w:t>;</w:t>
      </w:r>
    </w:p>
    <w:p w:rsidR="003E532D" w:rsidRPr="00D97FBF" w:rsidRDefault="003E532D" w:rsidP="00DF2DAA">
      <w:pPr>
        <w:ind w:left="696"/>
      </w:pPr>
    </w:p>
    <w:p w:rsidR="00E432D0" w:rsidRDefault="005B2B2E" w:rsidP="009017F5">
      <w:pPr>
        <w:pStyle w:val="PargrafodaLista"/>
        <w:numPr>
          <w:ilvl w:val="0"/>
          <w:numId w:val="14"/>
        </w:numPr>
        <w:ind w:left="1416"/>
      </w:pPr>
      <w:proofErr w:type="gramStart"/>
      <w:r w:rsidRPr="00A0036B">
        <w:t>Deverá(</w:t>
      </w:r>
      <w:proofErr w:type="spellStart"/>
      <w:proofErr w:type="gramEnd"/>
      <w:r w:rsidRPr="00A0036B">
        <w:t>ão</w:t>
      </w:r>
      <w:proofErr w:type="spellEnd"/>
      <w:r w:rsidRPr="00A0036B">
        <w:t>) constar do(s) atestado(s) ou da(s) certidão(</w:t>
      </w:r>
      <w:proofErr w:type="spellStart"/>
      <w:r w:rsidRPr="00A0036B">
        <w:t>ões</w:t>
      </w:r>
      <w:proofErr w:type="spellEnd"/>
      <w:r w:rsidRPr="00A0036B">
        <w:t>) expedida(s) pelo CREA</w:t>
      </w:r>
      <w:r w:rsidR="0046313D">
        <w:t xml:space="preserve"> ou CAU</w:t>
      </w:r>
      <w:r w:rsidRPr="00A0036B">
        <w:t>, em destaque, os seguintes dados: local de execução, nome do contratante e da pessoa jurídica contratada, nome(s) do(s) responsável(is) técnicos(s), seu(s) título(s) profissional(is) e número(s) de registro(s) no CREA</w:t>
      </w:r>
      <w:r w:rsidR="0046313D">
        <w:t xml:space="preserve"> ou CAU</w:t>
      </w:r>
      <w:r w:rsidRPr="00A0036B">
        <w:t>; descrição técnica sucinta indicando os serviços e quantitativos executa</w:t>
      </w:r>
      <w:r w:rsidR="00BF732F">
        <w:t>dos e o prazo final de execução;</w:t>
      </w:r>
    </w:p>
    <w:p w:rsidR="00BF732F" w:rsidRDefault="00BF732F" w:rsidP="00BF732F">
      <w:pPr>
        <w:pStyle w:val="PargrafodaLista"/>
        <w:numPr>
          <w:ilvl w:val="0"/>
          <w:numId w:val="0"/>
        </w:numPr>
        <w:ind w:left="720"/>
      </w:pPr>
    </w:p>
    <w:p w:rsidR="00BF732F" w:rsidRDefault="00BF732F" w:rsidP="009017F5">
      <w:pPr>
        <w:pStyle w:val="PargrafodaLista"/>
        <w:numPr>
          <w:ilvl w:val="0"/>
          <w:numId w:val="14"/>
        </w:numPr>
        <w:ind w:left="1416"/>
      </w:pPr>
      <w:r w:rsidRPr="007C4F6D">
        <w:t>No caso de atestados decorrentes de s</w:t>
      </w:r>
      <w:r w:rsidR="004B2080">
        <w:t>erviços</w:t>
      </w:r>
      <w:r w:rsidRPr="007C4F6D">
        <w:t xml:space="preserve"> executadas em consórcio serão considerados, para efeito de qualificação, os quantitativos nos percentuais de participação de cada consorciado. No caso de atestados decorrentes de s</w:t>
      </w:r>
      <w:r w:rsidR="00880595">
        <w:t>erviços</w:t>
      </w:r>
      <w:r w:rsidRPr="007C4F6D">
        <w:t xml:space="preserve"> executadas em consórcio no qual há discriminação expressa de execução de partes distintas de serviços por cada consorciada, será considerada a parcela executada por cad</w:t>
      </w:r>
      <w:r w:rsidR="00E70FBB">
        <w:t xml:space="preserve">a uma das empresas consorciadas. </w:t>
      </w:r>
      <w:r w:rsidR="00E70FBB" w:rsidRPr="007C4F6D">
        <w:t>Para fins de comprovação do percentual de participação do consorciado, deverá ser juntada à certidão/atestado, cópia do instrumento de c</w:t>
      </w:r>
      <w:r w:rsidR="0079115A">
        <w:t>onstituição do consórcio;</w:t>
      </w:r>
    </w:p>
    <w:p w:rsidR="0079115A" w:rsidRDefault="0079115A" w:rsidP="005035D0"/>
    <w:p w:rsidR="0079115A" w:rsidRPr="007C4F6D" w:rsidRDefault="0079115A" w:rsidP="0079115A">
      <w:pPr>
        <w:pStyle w:val="PargrafodaLista"/>
        <w:numPr>
          <w:ilvl w:val="0"/>
          <w:numId w:val="0"/>
        </w:numPr>
        <w:ind w:left="1416"/>
      </w:pPr>
    </w:p>
    <w:p w:rsidR="005B2B2E" w:rsidRPr="00566459" w:rsidRDefault="005B2B2E" w:rsidP="009017F5">
      <w:pPr>
        <w:pStyle w:val="PargrafodaLista"/>
        <w:numPr>
          <w:ilvl w:val="0"/>
          <w:numId w:val="13"/>
        </w:numPr>
      </w:pPr>
      <w:r w:rsidRPr="00EB3286">
        <w:t xml:space="preserve">Comprovação de que a licitante possui em seu quadro permanente, na data da entrega da proposta, </w:t>
      </w:r>
      <w:r w:rsidRPr="00B662A5">
        <w:t xml:space="preserve">profissional </w:t>
      </w:r>
      <w:r w:rsidR="001806E3" w:rsidRPr="00B662A5">
        <w:t xml:space="preserve">de nível superior ou outro devidamente reconhecido pela entidade </w:t>
      </w:r>
      <w:proofErr w:type="gramStart"/>
      <w:r w:rsidR="001806E3" w:rsidRPr="00B662A5">
        <w:t>competente,</w:t>
      </w:r>
      <w:proofErr w:type="gramEnd"/>
      <w:r w:rsidRPr="00EB3286">
        <w:t>detentor de atestado de responsabilidade técnica, e devidamente registrado no CREA</w:t>
      </w:r>
      <w:r w:rsidR="0046313D">
        <w:t xml:space="preserve"> ou CAU</w:t>
      </w:r>
      <w:r w:rsidRPr="00EB3286">
        <w:t>, acompanhado da respectiva Certidão de Acervo</w:t>
      </w:r>
      <w:r w:rsidR="0083148C">
        <w:t xml:space="preserve"> Técnico - CAT</w:t>
      </w:r>
      <w:r w:rsidR="008D3D68">
        <w:t xml:space="preserve"> ou equivalente</w:t>
      </w:r>
      <w:r w:rsidRPr="00EB3286">
        <w:t>, expedida por Con</w:t>
      </w:r>
      <w:r w:rsidRPr="00B67FDF">
        <w:t xml:space="preserve">selho, que comprove ter o profissional executado </w:t>
      </w:r>
      <w:r w:rsidR="005654CC" w:rsidRPr="005654CC">
        <w:t xml:space="preserve">serviço(s) relativo(s) à </w:t>
      </w:r>
      <w:r w:rsidR="00910AD6">
        <w:t>perfuração de poços tubulares em áreas de rochas</w:t>
      </w:r>
      <w:r w:rsidR="005654CC" w:rsidRPr="005654CC">
        <w:t xml:space="preserve"> ou similares em complexidade ao objeto desta licitação</w:t>
      </w:r>
      <w:r w:rsidR="00FD645C" w:rsidRPr="00B67FDF">
        <w:t>, conforme alínea “c</w:t>
      </w:r>
      <w:r w:rsidR="00E70FBB">
        <w:t>2</w:t>
      </w:r>
      <w:r w:rsidR="00FD645C" w:rsidRPr="00B67FDF">
        <w:t>” deste subitem.</w:t>
      </w:r>
    </w:p>
    <w:p w:rsidR="00566459" w:rsidRPr="00566459" w:rsidRDefault="00566459" w:rsidP="00566459">
      <w:pPr>
        <w:pStyle w:val="PargrafodaLista"/>
        <w:numPr>
          <w:ilvl w:val="0"/>
          <w:numId w:val="0"/>
        </w:numPr>
        <w:ind w:left="720"/>
        <w:rPr>
          <w:color w:val="FF0000"/>
        </w:rPr>
      </w:pPr>
    </w:p>
    <w:p w:rsidR="00DF2DAA" w:rsidRPr="00DF2DAA" w:rsidRDefault="00DF2DAA" w:rsidP="009017F5">
      <w:pPr>
        <w:pStyle w:val="PargrafodaLista"/>
        <w:numPr>
          <w:ilvl w:val="0"/>
          <w:numId w:val="22"/>
        </w:numPr>
        <w:ind w:left="1418" w:hanging="425"/>
      </w:pPr>
      <w:r w:rsidRPr="00DF2DAA">
        <w:t xml:space="preserve">Entende-se, para fins deste </w:t>
      </w:r>
      <w:r w:rsidR="00846E16">
        <w:t>Termo de Referência</w:t>
      </w:r>
      <w:r w:rsidRPr="00DF2DAA">
        <w:t>, como pe</w:t>
      </w:r>
      <w:r w:rsidR="00910AD6">
        <w:t>rtencente ao quadro permanente:</w:t>
      </w:r>
    </w:p>
    <w:p w:rsidR="00DF2DAA" w:rsidRPr="003B493D" w:rsidRDefault="003B493D" w:rsidP="009017F5">
      <w:pPr>
        <w:numPr>
          <w:ilvl w:val="1"/>
          <w:numId w:val="21"/>
        </w:numPr>
        <w:tabs>
          <w:tab w:val="left" w:pos="1560"/>
        </w:tabs>
        <w:suppressAutoHyphens/>
        <w:ind w:left="2568" w:hanging="357"/>
        <w:rPr>
          <w:szCs w:val="20"/>
        </w:rPr>
      </w:pPr>
      <w:r>
        <w:rPr>
          <w:szCs w:val="20"/>
        </w:rPr>
        <w:t>O</w:t>
      </w:r>
      <w:r w:rsidR="00DF2DAA" w:rsidRPr="003B493D">
        <w:rPr>
          <w:szCs w:val="20"/>
        </w:rPr>
        <w:t xml:space="preserve"> empregado;</w:t>
      </w:r>
    </w:p>
    <w:p w:rsidR="00DF2DAA" w:rsidRPr="003B493D" w:rsidRDefault="003B493D" w:rsidP="009017F5">
      <w:pPr>
        <w:numPr>
          <w:ilvl w:val="1"/>
          <w:numId w:val="21"/>
        </w:numPr>
        <w:tabs>
          <w:tab w:val="left" w:pos="1560"/>
        </w:tabs>
        <w:suppressAutoHyphens/>
        <w:ind w:left="2568" w:hanging="357"/>
        <w:rPr>
          <w:szCs w:val="20"/>
        </w:rPr>
      </w:pPr>
      <w:r>
        <w:rPr>
          <w:szCs w:val="20"/>
        </w:rPr>
        <w:t>O</w:t>
      </w:r>
      <w:r w:rsidR="00DF2DAA" w:rsidRPr="003B493D">
        <w:rPr>
          <w:szCs w:val="20"/>
        </w:rPr>
        <w:t xml:space="preserve"> sócio; </w:t>
      </w:r>
    </w:p>
    <w:p w:rsidR="00DF2DAA" w:rsidRDefault="003B493D" w:rsidP="009017F5">
      <w:pPr>
        <w:numPr>
          <w:ilvl w:val="1"/>
          <w:numId w:val="21"/>
        </w:numPr>
        <w:tabs>
          <w:tab w:val="left" w:pos="1560"/>
        </w:tabs>
        <w:suppressAutoHyphens/>
        <w:ind w:left="2568" w:hanging="357"/>
        <w:rPr>
          <w:szCs w:val="20"/>
        </w:rPr>
      </w:pPr>
      <w:r>
        <w:rPr>
          <w:szCs w:val="20"/>
        </w:rPr>
        <w:t>O</w:t>
      </w:r>
      <w:r w:rsidR="00DF2DAA" w:rsidRPr="003B493D">
        <w:rPr>
          <w:szCs w:val="20"/>
        </w:rPr>
        <w:t xml:space="preserve"> detentor de contrato de prestação de serviço.</w:t>
      </w:r>
    </w:p>
    <w:p w:rsidR="003B493D" w:rsidRPr="003B493D" w:rsidRDefault="003B493D" w:rsidP="003B493D">
      <w:pPr>
        <w:tabs>
          <w:tab w:val="left" w:pos="1560"/>
        </w:tabs>
        <w:suppressAutoHyphens/>
        <w:spacing w:before="120"/>
        <w:ind w:left="2574"/>
        <w:rPr>
          <w:szCs w:val="20"/>
        </w:rPr>
      </w:pPr>
    </w:p>
    <w:p w:rsidR="00DF2DAA" w:rsidRDefault="00DF2DAA" w:rsidP="009017F5">
      <w:pPr>
        <w:pStyle w:val="PargrafodaLista"/>
        <w:numPr>
          <w:ilvl w:val="0"/>
          <w:numId w:val="22"/>
        </w:numPr>
        <w:ind w:left="1418" w:hanging="425"/>
      </w:pPr>
      <w:r w:rsidRPr="003B493D">
        <w:t>A licitante deverá comprovar através da juntada de cópia de: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civil comum, ou declaração de contratação futura do profissional detentor do atestado apresentado, desde que acompanhado da anuência deste.</w:t>
      </w:r>
    </w:p>
    <w:p w:rsidR="003B493D" w:rsidRPr="003B493D" w:rsidRDefault="003B493D" w:rsidP="003B493D">
      <w:pPr>
        <w:pStyle w:val="PargrafodaLista"/>
        <w:numPr>
          <w:ilvl w:val="0"/>
          <w:numId w:val="0"/>
        </w:numPr>
        <w:ind w:left="1418"/>
      </w:pPr>
    </w:p>
    <w:p w:rsidR="003B493D" w:rsidRDefault="003B493D" w:rsidP="009017F5">
      <w:pPr>
        <w:pStyle w:val="PargrafodaLista"/>
        <w:numPr>
          <w:ilvl w:val="0"/>
          <w:numId w:val="22"/>
        </w:numPr>
        <w:ind w:left="1418" w:hanging="425"/>
      </w:pPr>
      <w:r>
        <w:t>Q</w:t>
      </w:r>
      <w:r w:rsidR="00DF2DAA" w:rsidRPr="003B493D">
        <w:t>uando se tratar de dirigente ou sócio da licitante tal comprovação será através do ato constitutivo da mesma;</w:t>
      </w:r>
    </w:p>
    <w:p w:rsidR="003B493D" w:rsidRDefault="003B493D" w:rsidP="003B493D">
      <w:pPr>
        <w:pStyle w:val="PargrafodaLista"/>
        <w:numPr>
          <w:ilvl w:val="0"/>
          <w:numId w:val="0"/>
        </w:numPr>
        <w:ind w:left="720"/>
      </w:pPr>
    </w:p>
    <w:p w:rsidR="00DF2DAA" w:rsidRDefault="00DF2DAA" w:rsidP="009017F5">
      <w:pPr>
        <w:pStyle w:val="PargrafodaLista"/>
        <w:numPr>
          <w:ilvl w:val="0"/>
          <w:numId w:val="22"/>
        </w:numPr>
        <w:ind w:left="1418" w:hanging="425"/>
      </w:pPr>
      <w:r w:rsidRPr="003B493D">
        <w:t>No caso de duas ou mais licitantes apresentarem atestados de um mesmo profissional como responsável técnico, como comprovação de qualificação técnica, ambas serão inabilitadas.</w:t>
      </w:r>
    </w:p>
    <w:p w:rsidR="00877079" w:rsidRDefault="00877079" w:rsidP="00877079">
      <w:pPr>
        <w:pStyle w:val="PargrafodaLista"/>
        <w:numPr>
          <w:ilvl w:val="0"/>
          <w:numId w:val="0"/>
        </w:numPr>
        <w:ind w:left="720"/>
      </w:pPr>
    </w:p>
    <w:p w:rsidR="00877079" w:rsidRPr="003B493D" w:rsidRDefault="00877079" w:rsidP="00877079"/>
    <w:p w:rsidR="005B2B2E" w:rsidRDefault="003247AE" w:rsidP="009017F5">
      <w:pPr>
        <w:pStyle w:val="Ttulo1"/>
        <w:numPr>
          <w:ilvl w:val="0"/>
          <w:numId w:val="24"/>
        </w:numPr>
      </w:pPr>
      <w:bookmarkStart w:id="15" w:name="_Toc18400277"/>
      <w:r>
        <w:t xml:space="preserve">REFERÊNCIA DE PREÇOS E </w:t>
      </w:r>
      <w:r w:rsidR="005B2B2E" w:rsidRPr="00EB3286">
        <w:t>DOTAÇÃO ORÇAMENTÁRIA</w:t>
      </w:r>
      <w:bookmarkEnd w:id="15"/>
    </w:p>
    <w:p w:rsidR="00CD366B" w:rsidRPr="00CD366B" w:rsidRDefault="00CD366B" w:rsidP="00CD366B"/>
    <w:p w:rsidR="00B83081" w:rsidRPr="005F794D" w:rsidRDefault="00273CCA" w:rsidP="009017F5">
      <w:pPr>
        <w:pStyle w:val="Ttulo2"/>
        <w:numPr>
          <w:ilvl w:val="1"/>
          <w:numId w:val="24"/>
        </w:numPr>
        <w:ind w:left="0" w:firstLine="0"/>
        <w:rPr>
          <w:color w:val="FF0000"/>
          <w:szCs w:val="20"/>
        </w:rPr>
      </w:pPr>
      <w:bookmarkStart w:id="16" w:name="_Ref449450747"/>
      <w:r>
        <w:t xml:space="preserve">As indicações </w:t>
      </w:r>
      <w:r w:rsidR="002B7100">
        <w:t>d</w:t>
      </w:r>
      <w:r>
        <w:t xml:space="preserve">as despesas orçamentárias para a contraprestação dos serviços, sob a </w:t>
      </w:r>
      <w:r w:rsidR="00FD645C" w:rsidRPr="00273CCA">
        <w:rPr>
          <w:szCs w:val="20"/>
        </w:rPr>
        <w:t xml:space="preserve">gestão da </w:t>
      </w:r>
      <w:r w:rsidR="00B546FD">
        <w:rPr>
          <w:szCs w:val="20"/>
        </w:rPr>
        <w:t>2</w:t>
      </w:r>
      <w:r w:rsidR="00FD645C" w:rsidRPr="00273CCA">
        <w:rPr>
          <w:szCs w:val="20"/>
        </w:rPr>
        <w:t xml:space="preserve">ª </w:t>
      </w:r>
      <w:r w:rsidR="0054664F" w:rsidRPr="00273CCA">
        <w:rPr>
          <w:szCs w:val="20"/>
        </w:rPr>
        <w:t>S</w:t>
      </w:r>
      <w:r>
        <w:rPr>
          <w:szCs w:val="20"/>
        </w:rPr>
        <w:t xml:space="preserve">uperintendência </w:t>
      </w:r>
      <w:r w:rsidR="0054664F" w:rsidRPr="00273CCA">
        <w:rPr>
          <w:szCs w:val="20"/>
        </w:rPr>
        <w:t>R</w:t>
      </w:r>
      <w:r>
        <w:rPr>
          <w:szCs w:val="20"/>
        </w:rPr>
        <w:t>egional</w:t>
      </w:r>
      <w:r w:rsidR="00FD645C" w:rsidRPr="00273CCA">
        <w:rPr>
          <w:szCs w:val="20"/>
        </w:rPr>
        <w:t xml:space="preserve"> da </w:t>
      </w:r>
      <w:r w:rsidR="00B546FD" w:rsidRPr="007D3F24">
        <w:t>CODEVASF</w:t>
      </w:r>
      <w:r>
        <w:rPr>
          <w:szCs w:val="20"/>
        </w:rPr>
        <w:t xml:space="preserve">, serão definidas na etapa de formalização do contrato, conforme Art. 7º, </w:t>
      </w:r>
      <w:r w:rsidR="00F9276E">
        <w:rPr>
          <w:szCs w:val="20"/>
        </w:rPr>
        <w:t>§</w:t>
      </w:r>
      <w:r>
        <w:rPr>
          <w:szCs w:val="20"/>
        </w:rPr>
        <w:t xml:space="preserve"> 2º, do Decreto </w:t>
      </w:r>
      <w:r w:rsidR="00F9276E">
        <w:rPr>
          <w:szCs w:val="20"/>
        </w:rPr>
        <w:t>7.892 de 23 de janeiro de 2013</w:t>
      </w:r>
      <w:r w:rsidR="00B83081" w:rsidRPr="00273CCA">
        <w:rPr>
          <w:szCs w:val="20"/>
        </w:rPr>
        <w:t>.</w:t>
      </w:r>
    </w:p>
    <w:p w:rsidR="00B83081" w:rsidRDefault="00B83081" w:rsidP="00B83081"/>
    <w:p w:rsidR="00CE364C" w:rsidRDefault="00FD645C" w:rsidP="009017F5">
      <w:pPr>
        <w:pStyle w:val="Ttulo2"/>
        <w:numPr>
          <w:ilvl w:val="1"/>
          <w:numId w:val="24"/>
        </w:numPr>
        <w:ind w:left="0" w:firstLine="0"/>
      </w:pPr>
      <w:r w:rsidRPr="002B7100">
        <w:t xml:space="preserve">O valor </w:t>
      </w:r>
      <w:r w:rsidR="00AF209E" w:rsidRPr="002B7100">
        <w:t xml:space="preserve">total </w:t>
      </w:r>
      <w:r w:rsidRPr="002B7100">
        <w:t>estimado para a contratação dos serviço</w:t>
      </w:r>
      <w:r w:rsidR="00AF209E" w:rsidRPr="002B7100">
        <w:t>s</w:t>
      </w:r>
      <w:r w:rsidRPr="002B7100">
        <w:t xml:space="preserve"> de engenharia</w:t>
      </w:r>
      <w:r w:rsidR="00AF209E" w:rsidRPr="002B7100">
        <w:t>,</w:t>
      </w:r>
      <w:r w:rsidRPr="002B7100">
        <w:t xml:space="preserve"> objeto deste Termo de</w:t>
      </w:r>
      <w:r w:rsidRPr="008F5C53">
        <w:t xml:space="preserve"> Referência é </w:t>
      </w:r>
      <w:proofErr w:type="spellStart"/>
      <w:proofErr w:type="gramStart"/>
      <w:r w:rsidR="0086511E">
        <w:t>de</w:t>
      </w:r>
      <w:r w:rsidR="001A5203" w:rsidRPr="00052C54">
        <w:rPr>
          <w:b/>
          <w:szCs w:val="20"/>
          <w:u w:val="single"/>
          <w:lang w:eastAsia="pt-BR"/>
        </w:rPr>
        <w:t>R</w:t>
      </w:r>
      <w:proofErr w:type="spellEnd"/>
      <w:proofErr w:type="gramEnd"/>
      <w:r w:rsidR="001A5203" w:rsidRPr="00052C54">
        <w:rPr>
          <w:b/>
          <w:szCs w:val="20"/>
          <w:u w:val="single"/>
          <w:lang w:eastAsia="pt-BR"/>
        </w:rPr>
        <w:t xml:space="preserve">$ 34.364.154,80 (trinta e quatro milhões, trezentos e sessenta e quatro mil, cento e </w:t>
      </w:r>
      <w:proofErr w:type="spellStart"/>
      <w:r w:rsidR="001A5203" w:rsidRPr="00052C54">
        <w:rPr>
          <w:b/>
          <w:szCs w:val="20"/>
          <w:u w:val="single"/>
          <w:lang w:eastAsia="pt-BR"/>
        </w:rPr>
        <w:t>cinquenta</w:t>
      </w:r>
      <w:proofErr w:type="spellEnd"/>
      <w:r w:rsidR="001A5203" w:rsidRPr="00052C54">
        <w:rPr>
          <w:b/>
          <w:szCs w:val="20"/>
          <w:u w:val="single"/>
          <w:lang w:eastAsia="pt-BR"/>
        </w:rPr>
        <w:t xml:space="preserve"> e quatro reais e oitenta centavos)</w:t>
      </w:r>
      <w:r w:rsidR="001A5203" w:rsidRPr="00052C54">
        <w:rPr>
          <w:lang w:eastAsia="pt-BR"/>
        </w:rPr>
        <w:t>,</w:t>
      </w:r>
      <w:r w:rsidR="001A5203" w:rsidRPr="007B39F4">
        <w:rPr>
          <w:b/>
        </w:rPr>
        <w:t xml:space="preserve">SINAPI – </w:t>
      </w:r>
      <w:r w:rsidR="000E37FB" w:rsidRPr="007B39F4">
        <w:rPr>
          <w:b/>
        </w:rPr>
        <w:t>julho</w:t>
      </w:r>
      <w:r w:rsidR="001A5203" w:rsidRPr="007B39F4">
        <w:rPr>
          <w:b/>
        </w:rPr>
        <w:t>/2021</w:t>
      </w:r>
      <w:r w:rsidR="001A5203" w:rsidRPr="007B39F4">
        <w:t xml:space="preserve">; </w:t>
      </w:r>
      <w:r w:rsidR="001A5203" w:rsidRPr="007B39F4">
        <w:rPr>
          <w:b/>
          <w:szCs w:val="20"/>
        </w:rPr>
        <w:t>ORSE - Junho/2021</w:t>
      </w:r>
      <w:r w:rsidR="001A5203">
        <w:rPr>
          <w:szCs w:val="20"/>
        </w:rPr>
        <w:t xml:space="preserve"> e cotações específicas de mercado</w:t>
      </w:r>
      <w:r w:rsidR="009B7C4F">
        <w:rPr>
          <w:szCs w:val="20"/>
        </w:rPr>
        <w:t>,</w:t>
      </w:r>
      <w:r w:rsidR="00BB2B00" w:rsidRPr="002B7100">
        <w:t xml:space="preserve"> conforme detalhado abaixo:</w:t>
      </w:r>
    </w:p>
    <w:p w:rsidR="00D16BC8" w:rsidRDefault="00D16BC8" w:rsidP="00D16BC8"/>
    <w:p w:rsidR="00333B6B" w:rsidRDefault="00333B6B" w:rsidP="00D16BC8">
      <w:r w:rsidRPr="00333B6B">
        <w:rPr>
          <w:noProof/>
          <w:lang w:eastAsia="pt-BR"/>
        </w:rPr>
        <w:drawing>
          <wp:inline distT="0" distB="0" distL="0" distR="0">
            <wp:extent cx="5850255" cy="3503270"/>
            <wp:effectExtent l="0" t="0" r="0" b="254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850255" cy="3503270"/>
                    </a:xfrm>
                    <a:prstGeom prst="rect">
                      <a:avLst/>
                    </a:prstGeom>
                    <a:noFill/>
                    <a:ln>
                      <a:noFill/>
                    </a:ln>
                  </pic:spPr>
                </pic:pic>
              </a:graphicData>
            </a:graphic>
          </wp:inline>
        </w:drawing>
      </w:r>
    </w:p>
    <w:p w:rsidR="00BB2B00" w:rsidRPr="00BF720C" w:rsidRDefault="00BB2B00" w:rsidP="00333B6B">
      <w:pPr>
        <w:jc w:val="left"/>
        <w:rPr>
          <w:b/>
        </w:rPr>
      </w:pPr>
    </w:p>
    <w:bookmarkEnd w:id="16"/>
    <w:p w:rsidR="008802D6" w:rsidRPr="00B67FDF" w:rsidRDefault="008802D6" w:rsidP="008802D6"/>
    <w:p w:rsidR="005B2B2E" w:rsidRPr="00EB3286" w:rsidRDefault="005B2B2E" w:rsidP="009017F5">
      <w:pPr>
        <w:pStyle w:val="Ttulo2"/>
        <w:numPr>
          <w:ilvl w:val="1"/>
          <w:numId w:val="24"/>
        </w:numPr>
        <w:ind w:left="0" w:firstLine="0"/>
      </w:pPr>
      <w:r w:rsidRPr="00B67FDF">
        <w:t xml:space="preserve">Estão inclusos no valor acima, o BDI, os encargos sociais, as taxas, os impostos e os emolumentos. Os quantitativos e </w:t>
      </w:r>
      <w:r w:rsidR="00831FB8" w:rsidRPr="00B67FDF">
        <w:t xml:space="preserve">os preços de referência da </w:t>
      </w:r>
      <w:r w:rsidR="00B546FD" w:rsidRPr="007D3F24">
        <w:t>CODEVASF</w:t>
      </w:r>
      <w:r w:rsidR="00831FB8" w:rsidRPr="00B67FDF">
        <w:t xml:space="preserve"> para os itens </w:t>
      </w:r>
      <w:r w:rsidR="00D83EA6" w:rsidRPr="00B67FDF">
        <w:t>necessários à execução do objeto</w:t>
      </w:r>
      <w:r w:rsidRPr="00B67FDF">
        <w:t xml:space="preserve"> constam da Planilha </w:t>
      </w:r>
      <w:r w:rsidR="00D83EA6" w:rsidRPr="00B67FDF">
        <w:t>de Custos do Valor do Orçamento de Referência</w:t>
      </w:r>
      <w:r w:rsidRPr="00B67FDF">
        <w:t xml:space="preserve"> –</w:t>
      </w:r>
      <w:r w:rsidR="0054664F" w:rsidRPr="00B67FDF">
        <w:t xml:space="preserve"> Anexo VI</w:t>
      </w:r>
      <w:r w:rsidRPr="00EB3286">
        <w:t>, parte integrante deste Termo de Referência.</w:t>
      </w:r>
    </w:p>
    <w:p w:rsidR="005B2B2E" w:rsidRPr="00EB3286" w:rsidRDefault="005B2B2E" w:rsidP="00713A43">
      <w:pPr>
        <w:pStyle w:val="Ttulo2"/>
        <w:numPr>
          <w:ilvl w:val="0"/>
          <w:numId w:val="0"/>
        </w:numPr>
      </w:pPr>
    </w:p>
    <w:p w:rsidR="005B2B2E" w:rsidRPr="00B67FDF" w:rsidRDefault="00FE3C3A" w:rsidP="009017F5">
      <w:pPr>
        <w:pStyle w:val="Ttulo2"/>
        <w:numPr>
          <w:ilvl w:val="1"/>
          <w:numId w:val="24"/>
        </w:numPr>
        <w:ind w:left="0" w:firstLine="0"/>
      </w:pPr>
      <w:r w:rsidRPr="00B67FDF">
        <w:t xml:space="preserve">O valor estimado para a contratação foi elaborado com base no Sistema de Preços, Custos e Índices da Caixa Econômica </w:t>
      </w:r>
      <w:r w:rsidRPr="0069690D">
        <w:t xml:space="preserve">Federal </w:t>
      </w:r>
      <w:proofErr w:type="gramStart"/>
      <w:r w:rsidR="00D16BC8" w:rsidRPr="005536BC">
        <w:rPr>
          <w:b/>
        </w:rPr>
        <w:t xml:space="preserve">SINAPI </w:t>
      </w:r>
      <w:r w:rsidR="0072291F" w:rsidRPr="005536BC">
        <w:rPr>
          <w:b/>
        </w:rPr>
        <w:t>–</w:t>
      </w:r>
      <w:r w:rsidR="005536BC" w:rsidRPr="005536BC">
        <w:rPr>
          <w:b/>
        </w:rPr>
        <w:t>JULHO</w:t>
      </w:r>
      <w:proofErr w:type="gramEnd"/>
      <w:r w:rsidR="00D16BC8" w:rsidRPr="005536BC">
        <w:rPr>
          <w:b/>
        </w:rPr>
        <w:t>/20</w:t>
      </w:r>
      <w:r w:rsidR="005536BC" w:rsidRPr="005536BC">
        <w:rPr>
          <w:b/>
        </w:rPr>
        <w:t>21</w:t>
      </w:r>
      <w:r w:rsidR="00FA7CB6" w:rsidRPr="005536BC">
        <w:t xml:space="preserve">; </w:t>
      </w:r>
      <w:r w:rsidR="005536BC" w:rsidRPr="005536BC">
        <w:rPr>
          <w:b/>
          <w:szCs w:val="20"/>
        </w:rPr>
        <w:t>ORSE - Junho</w:t>
      </w:r>
      <w:r w:rsidR="00FA7CB6" w:rsidRPr="005536BC">
        <w:rPr>
          <w:b/>
          <w:szCs w:val="20"/>
        </w:rPr>
        <w:t>/20</w:t>
      </w:r>
      <w:r w:rsidR="005536BC" w:rsidRPr="005536BC">
        <w:rPr>
          <w:b/>
          <w:szCs w:val="20"/>
        </w:rPr>
        <w:t>21</w:t>
      </w:r>
      <w:r w:rsidR="00FA7CB6" w:rsidRPr="005536BC">
        <w:rPr>
          <w:szCs w:val="20"/>
        </w:rPr>
        <w:t xml:space="preserve"> e cotações específicas de </w:t>
      </w:r>
      <w:proofErr w:type="spellStart"/>
      <w:r w:rsidR="00FA7CB6" w:rsidRPr="005536BC">
        <w:rPr>
          <w:szCs w:val="20"/>
        </w:rPr>
        <w:t>mercado</w:t>
      </w:r>
      <w:r w:rsidR="00146760" w:rsidRPr="005536BC">
        <w:t>para</w:t>
      </w:r>
      <w:proofErr w:type="spellEnd"/>
      <w:r w:rsidR="00146760" w:rsidRPr="005536BC">
        <w:t xml:space="preserve"> o estado da</w:t>
      </w:r>
      <w:r w:rsidR="00B546FD" w:rsidRPr="005536BC">
        <w:t xml:space="preserve"> Bahia</w:t>
      </w:r>
      <w:r w:rsidRPr="0069690D">
        <w:t>,</w:t>
      </w:r>
      <w:r w:rsidRPr="00B67FDF">
        <w:t>atendendo ao disposto no Decreto nº 7.983, de 08/04/2013, já inclusos o BDI, encargos sociais,</w:t>
      </w:r>
      <w:r w:rsidR="0071401A">
        <w:t xml:space="preserve"> taxas, impostos e emolumentos.</w:t>
      </w:r>
    </w:p>
    <w:p w:rsidR="005B2B2E" w:rsidRDefault="005B2B2E" w:rsidP="00713A43">
      <w:pPr>
        <w:pStyle w:val="Ttulo2"/>
        <w:numPr>
          <w:ilvl w:val="0"/>
          <w:numId w:val="0"/>
        </w:numPr>
      </w:pPr>
    </w:p>
    <w:p w:rsidR="00CE4C2D" w:rsidRPr="00B67FDF" w:rsidRDefault="00CE4C2D" w:rsidP="009017F5">
      <w:pPr>
        <w:pStyle w:val="Ttulo3"/>
        <w:numPr>
          <w:ilvl w:val="2"/>
          <w:numId w:val="24"/>
        </w:numPr>
        <w:ind w:left="709" w:hanging="709"/>
      </w:pPr>
      <w:r w:rsidRPr="00B67FDF">
        <w:t xml:space="preserve">No orçamento de referência foram consideradas as seguintes taxas de BDI e Encargos Sociais: </w:t>
      </w:r>
    </w:p>
    <w:p w:rsidR="00CE4C2D" w:rsidRPr="00B67FDF" w:rsidRDefault="00CE4C2D" w:rsidP="00CE4C2D"/>
    <w:tbl>
      <w:tblPr>
        <w:tblStyle w:val="Tabelacomgrade"/>
        <w:tblW w:w="0" w:type="auto"/>
        <w:tblInd w:w="817" w:type="dxa"/>
        <w:tblLook w:val="04A0"/>
      </w:tblPr>
      <w:tblGrid>
        <w:gridCol w:w="2067"/>
        <w:gridCol w:w="674"/>
        <w:gridCol w:w="1377"/>
        <w:gridCol w:w="1373"/>
        <w:gridCol w:w="684"/>
        <w:gridCol w:w="2069"/>
      </w:tblGrid>
      <w:tr w:rsidR="00FE3C3A" w:rsidRPr="00B67FDF" w:rsidTr="00FE3C3A">
        <w:trPr>
          <w:trHeight w:val="382"/>
        </w:trPr>
        <w:tc>
          <w:tcPr>
            <w:tcW w:w="2741" w:type="dxa"/>
            <w:gridSpan w:val="2"/>
            <w:vAlign w:val="center"/>
          </w:tcPr>
          <w:p w:rsidR="00FE3C3A" w:rsidRPr="00B67FDF" w:rsidRDefault="00FE3C3A" w:rsidP="007F4614">
            <w:pPr>
              <w:jc w:val="center"/>
            </w:pPr>
            <w:r w:rsidRPr="00B67FDF">
              <w:t>BDI:</w:t>
            </w:r>
          </w:p>
        </w:tc>
        <w:tc>
          <w:tcPr>
            <w:tcW w:w="2750" w:type="dxa"/>
            <w:gridSpan w:val="2"/>
            <w:vAlign w:val="center"/>
          </w:tcPr>
          <w:p w:rsidR="00FE3C3A" w:rsidRPr="00BF720C" w:rsidRDefault="00FE3C3A" w:rsidP="004E66E0">
            <w:pPr>
              <w:jc w:val="center"/>
            </w:pPr>
            <w:r w:rsidRPr="00BF720C">
              <w:t xml:space="preserve">Serviços: </w:t>
            </w:r>
            <w:r w:rsidR="00BA1896" w:rsidRPr="00BF720C">
              <w:t>23,</w:t>
            </w:r>
            <w:r w:rsidR="004E66E0" w:rsidRPr="00BF720C">
              <w:t>75</w:t>
            </w:r>
            <w:r w:rsidRPr="00BF720C">
              <w:t xml:space="preserve"> %</w:t>
            </w:r>
          </w:p>
        </w:tc>
        <w:tc>
          <w:tcPr>
            <w:tcW w:w="2753" w:type="dxa"/>
            <w:gridSpan w:val="2"/>
            <w:vAlign w:val="center"/>
          </w:tcPr>
          <w:p w:rsidR="00FE3C3A" w:rsidRPr="00B67FDF" w:rsidRDefault="0069690D" w:rsidP="00BA1896">
            <w:pPr>
              <w:jc w:val="center"/>
            </w:pPr>
            <w:r w:rsidRPr="00F8572A">
              <w:t xml:space="preserve">Fornecimento: </w:t>
            </w:r>
            <w:r w:rsidR="00BA1896">
              <w:t>00</w:t>
            </w:r>
            <w:r w:rsidRPr="0069690D">
              <w:rPr>
                <w:b/>
              </w:rPr>
              <w:t>%</w:t>
            </w:r>
          </w:p>
        </w:tc>
      </w:tr>
      <w:tr w:rsidR="00FE3C3A" w:rsidRPr="00B67FDF" w:rsidTr="00FE3C3A">
        <w:trPr>
          <w:trHeight w:val="382"/>
        </w:trPr>
        <w:tc>
          <w:tcPr>
            <w:tcW w:w="2741" w:type="dxa"/>
            <w:gridSpan w:val="2"/>
            <w:vAlign w:val="center"/>
          </w:tcPr>
          <w:p w:rsidR="00FE3C3A" w:rsidRPr="00B67FDF" w:rsidRDefault="00FE3C3A" w:rsidP="007F4614">
            <w:pPr>
              <w:jc w:val="center"/>
            </w:pPr>
            <w:r w:rsidRPr="00B67FDF">
              <w:t>ENCARGOS SOCIAIS:</w:t>
            </w:r>
          </w:p>
        </w:tc>
        <w:tc>
          <w:tcPr>
            <w:tcW w:w="2750" w:type="dxa"/>
            <w:gridSpan w:val="2"/>
            <w:vAlign w:val="center"/>
          </w:tcPr>
          <w:p w:rsidR="00FE3C3A" w:rsidRPr="00146760" w:rsidRDefault="0069690D" w:rsidP="009D4706">
            <w:pPr>
              <w:jc w:val="center"/>
              <w:rPr>
                <w:highlight w:val="yellow"/>
              </w:rPr>
            </w:pPr>
            <w:r>
              <w:t>1</w:t>
            </w:r>
            <w:r w:rsidR="00CD441F">
              <w:t>1</w:t>
            </w:r>
            <w:r w:rsidR="009D4706">
              <w:t>4</w:t>
            </w:r>
            <w:r>
              <w:t>,</w:t>
            </w:r>
            <w:r w:rsidR="009D4706">
              <w:t>02</w:t>
            </w:r>
            <w:r w:rsidRPr="00BF169E">
              <w:t xml:space="preserve">% </w:t>
            </w:r>
            <w:proofErr w:type="spellStart"/>
            <w:r w:rsidRPr="00BF169E">
              <w:t>Horista</w:t>
            </w:r>
            <w:proofErr w:type="spellEnd"/>
          </w:p>
        </w:tc>
        <w:tc>
          <w:tcPr>
            <w:tcW w:w="2753" w:type="dxa"/>
            <w:gridSpan w:val="2"/>
            <w:vAlign w:val="center"/>
          </w:tcPr>
          <w:p w:rsidR="00FE3C3A" w:rsidRPr="00146760" w:rsidRDefault="0069690D" w:rsidP="009D4706">
            <w:pPr>
              <w:jc w:val="center"/>
              <w:rPr>
                <w:highlight w:val="yellow"/>
              </w:rPr>
            </w:pPr>
            <w:r>
              <w:t>7</w:t>
            </w:r>
            <w:r w:rsidR="009D4706">
              <w:t>0</w:t>
            </w:r>
            <w:r>
              <w:t>,</w:t>
            </w:r>
            <w:r w:rsidR="009D4706">
              <w:t>79</w:t>
            </w:r>
            <w:r w:rsidRPr="00BF169E">
              <w:t>% Mensalista</w:t>
            </w:r>
          </w:p>
        </w:tc>
      </w:tr>
      <w:tr w:rsidR="00FE3C3A" w:rsidTr="00FE3C3A">
        <w:trPr>
          <w:trHeight w:val="382"/>
        </w:trPr>
        <w:tc>
          <w:tcPr>
            <w:tcW w:w="2067" w:type="dxa"/>
            <w:vAlign w:val="center"/>
          </w:tcPr>
          <w:p w:rsidR="00FE3C3A" w:rsidRPr="00B67FDF" w:rsidRDefault="00FE3C3A" w:rsidP="007F4614">
            <w:pPr>
              <w:jc w:val="center"/>
            </w:pPr>
            <w:r w:rsidRPr="00B67FDF">
              <w:t xml:space="preserve">   OUTROS:</w:t>
            </w:r>
          </w:p>
        </w:tc>
        <w:tc>
          <w:tcPr>
            <w:tcW w:w="2051" w:type="dxa"/>
            <w:gridSpan w:val="2"/>
            <w:vAlign w:val="center"/>
          </w:tcPr>
          <w:p w:rsidR="00FE3C3A" w:rsidRPr="0069690D" w:rsidRDefault="00FE3C3A" w:rsidP="007F4614">
            <w:pPr>
              <w:jc w:val="center"/>
            </w:pPr>
            <w:r w:rsidRPr="0069690D">
              <w:t>PIS: 0,65 %</w:t>
            </w:r>
          </w:p>
        </w:tc>
        <w:tc>
          <w:tcPr>
            <w:tcW w:w="2057" w:type="dxa"/>
            <w:gridSpan w:val="2"/>
            <w:vAlign w:val="center"/>
          </w:tcPr>
          <w:p w:rsidR="00FE3C3A" w:rsidRPr="0069690D" w:rsidRDefault="00FE3C3A" w:rsidP="007F4614">
            <w:pPr>
              <w:jc w:val="center"/>
            </w:pPr>
            <w:r w:rsidRPr="0069690D">
              <w:t>COFINS: 3,00 %</w:t>
            </w:r>
          </w:p>
        </w:tc>
        <w:tc>
          <w:tcPr>
            <w:tcW w:w="2069" w:type="dxa"/>
            <w:vAlign w:val="center"/>
          </w:tcPr>
          <w:p w:rsidR="00FE3C3A" w:rsidRPr="0069690D" w:rsidRDefault="0069690D" w:rsidP="007F4614">
            <w:pPr>
              <w:jc w:val="center"/>
            </w:pPr>
            <w:r w:rsidRPr="0069690D">
              <w:t>CPRB: 0</w:t>
            </w:r>
            <w:r w:rsidR="00BA1896">
              <w:t>0</w:t>
            </w:r>
            <w:r w:rsidR="00FE3C3A" w:rsidRPr="0069690D">
              <w:t xml:space="preserve"> %</w:t>
            </w:r>
          </w:p>
        </w:tc>
      </w:tr>
    </w:tbl>
    <w:p w:rsidR="00AE2F51" w:rsidRDefault="00AE2F51" w:rsidP="00AE2F51"/>
    <w:p w:rsidR="00DA2BD0" w:rsidRPr="00AE2F51" w:rsidRDefault="00DA2BD0" w:rsidP="00AE2F51"/>
    <w:p w:rsidR="00D133FE" w:rsidRDefault="00D133FE" w:rsidP="009017F5">
      <w:pPr>
        <w:pStyle w:val="Ttulo2"/>
        <w:numPr>
          <w:ilvl w:val="1"/>
          <w:numId w:val="24"/>
        </w:numPr>
        <w:ind w:left="0" w:firstLine="0"/>
      </w:pPr>
      <w:r>
        <w:t>O orçamento estimado estará disponível permanentemente aos órgãos de controle externo e interno.</w:t>
      </w:r>
    </w:p>
    <w:p w:rsidR="003060ED" w:rsidRPr="00442788" w:rsidRDefault="003060ED" w:rsidP="00442788"/>
    <w:p w:rsidR="0014222D" w:rsidRPr="009B0576" w:rsidRDefault="0014222D" w:rsidP="009017F5">
      <w:pPr>
        <w:pStyle w:val="Ttulo1"/>
        <w:numPr>
          <w:ilvl w:val="0"/>
          <w:numId w:val="24"/>
        </w:numPr>
        <w:rPr>
          <w:szCs w:val="20"/>
        </w:rPr>
      </w:pPr>
      <w:bookmarkStart w:id="17" w:name="_Ref399859802"/>
      <w:bookmarkStart w:id="18" w:name="_Ref400449100"/>
      <w:bookmarkStart w:id="19" w:name="_Toc18400278"/>
      <w:r w:rsidRPr="009B0576">
        <w:rPr>
          <w:szCs w:val="20"/>
        </w:rPr>
        <w:t>PRAZO</w:t>
      </w:r>
      <w:r w:rsidR="00BC06EE" w:rsidRPr="009B0576">
        <w:rPr>
          <w:szCs w:val="20"/>
        </w:rPr>
        <w:t>S</w:t>
      </w:r>
      <w:bookmarkEnd w:id="17"/>
      <w:bookmarkEnd w:id="18"/>
      <w:r w:rsidR="002C3E7F" w:rsidRPr="009B0576">
        <w:rPr>
          <w:szCs w:val="20"/>
        </w:rPr>
        <w:t xml:space="preserve"> DE EXECUÇÃO E VIGÊNCIA</w:t>
      </w:r>
      <w:bookmarkEnd w:id="19"/>
    </w:p>
    <w:p w:rsidR="00BC06EE" w:rsidRPr="009B0576" w:rsidRDefault="00BC06EE" w:rsidP="00BC06EE">
      <w:pPr>
        <w:rPr>
          <w:szCs w:val="20"/>
        </w:rPr>
      </w:pPr>
    </w:p>
    <w:p w:rsidR="00AE2F51" w:rsidRDefault="00AE2F51" w:rsidP="00AE2F51">
      <w:pPr>
        <w:pStyle w:val="Ttulo2"/>
        <w:numPr>
          <w:ilvl w:val="1"/>
          <w:numId w:val="24"/>
        </w:numPr>
        <w:ind w:left="0" w:firstLine="0"/>
      </w:pPr>
      <w:bookmarkStart w:id="20" w:name="_Ref441156019"/>
      <w:r>
        <w:t>O prazo máximo para execução do objeto deste TR é</w:t>
      </w:r>
      <w:r w:rsidRPr="00F46345">
        <w:t xml:space="preserve"> contado em dias, a partir da data de emissão da Ordem de Serviço, </w:t>
      </w:r>
      <w:r>
        <w:t xml:space="preserve">conforme especificado abaixo, </w:t>
      </w:r>
      <w:r w:rsidRPr="00F46345">
        <w:t>podendo ser prorrogado, mediante manifestação expressa das partes</w:t>
      </w:r>
      <w:r>
        <w:t>.</w:t>
      </w:r>
    </w:p>
    <w:p w:rsidR="00AE2F51" w:rsidRDefault="00AE2F51" w:rsidP="00AE2F51"/>
    <w:tbl>
      <w:tblPr>
        <w:tblW w:w="8551" w:type="dxa"/>
        <w:jc w:val="center"/>
        <w:tblLook w:val="0000"/>
      </w:tblPr>
      <w:tblGrid>
        <w:gridCol w:w="4631"/>
        <w:gridCol w:w="3920"/>
      </w:tblGrid>
      <w:tr w:rsidR="00AE2F51" w:rsidRPr="00AE2F51" w:rsidTr="005D00ED">
        <w:trPr>
          <w:jc w:val="center"/>
        </w:trPr>
        <w:tc>
          <w:tcPr>
            <w:tcW w:w="4631" w:type="dxa"/>
            <w:tcBorders>
              <w:top w:val="single" w:sz="4" w:space="0" w:color="000000"/>
              <w:left w:val="single" w:sz="4" w:space="0" w:color="000000"/>
              <w:bottom w:val="single" w:sz="4" w:space="0" w:color="000000"/>
            </w:tcBorders>
            <w:vAlign w:val="center"/>
          </w:tcPr>
          <w:p w:rsidR="00AE2F51" w:rsidRPr="00AE2F51" w:rsidRDefault="0070618C" w:rsidP="00AE2F51">
            <w:pPr>
              <w:jc w:val="center"/>
              <w:rPr>
                <w:b/>
                <w:szCs w:val="20"/>
              </w:rPr>
            </w:pPr>
            <w:r>
              <w:rPr>
                <w:b/>
                <w:szCs w:val="20"/>
              </w:rPr>
              <w:t xml:space="preserve">Prazo de </w:t>
            </w:r>
            <w:r w:rsidRPr="004F3B3C">
              <w:rPr>
                <w:b/>
                <w:szCs w:val="20"/>
              </w:rPr>
              <w:t xml:space="preserve">execução </w:t>
            </w:r>
            <w:r w:rsidR="005D00ED" w:rsidRPr="004F3B3C">
              <w:rPr>
                <w:b/>
              </w:rPr>
              <w:t xml:space="preserve">dos </w:t>
            </w:r>
            <w:proofErr w:type="gramStart"/>
            <w:r w:rsidR="005D00ED" w:rsidRPr="004F3B3C">
              <w:rPr>
                <w:b/>
              </w:rPr>
              <w:t>serviços</w:t>
            </w:r>
            <w:r w:rsidRPr="004F3B3C">
              <w:rPr>
                <w:b/>
                <w:szCs w:val="20"/>
              </w:rPr>
              <w:t>(</w:t>
            </w:r>
            <w:proofErr w:type="gramEnd"/>
            <w:r>
              <w:rPr>
                <w:b/>
                <w:szCs w:val="20"/>
              </w:rPr>
              <w:t>em dias)</w:t>
            </w:r>
          </w:p>
        </w:tc>
        <w:tc>
          <w:tcPr>
            <w:tcW w:w="3920" w:type="dxa"/>
            <w:tcBorders>
              <w:top w:val="single" w:sz="4" w:space="0" w:color="000000"/>
              <w:left w:val="single" w:sz="4" w:space="0" w:color="000000"/>
              <w:bottom w:val="single" w:sz="4" w:space="0" w:color="000000"/>
              <w:right w:val="single" w:sz="4" w:space="0" w:color="auto"/>
            </w:tcBorders>
            <w:vAlign w:val="center"/>
          </w:tcPr>
          <w:p w:rsidR="00AE2F51" w:rsidRPr="00AE2F51" w:rsidRDefault="0070618C" w:rsidP="00AE2F51">
            <w:pPr>
              <w:jc w:val="center"/>
              <w:rPr>
                <w:b/>
                <w:szCs w:val="20"/>
              </w:rPr>
            </w:pPr>
            <w:r>
              <w:rPr>
                <w:b/>
                <w:szCs w:val="20"/>
              </w:rPr>
              <w:t>36</w:t>
            </w:r>
            <w:r w:rsidRPr="00AE2F51">
              <w:rPr>
                <w:b/>
                <w:szCs w:val="20"/>
              </w:rPr>
              <w:t>0 (</w:t>
            </w:r>
            <w:r>
              <w:rPr>
                <w:b/>
                <w:szCs w:val="20"/>
              </w:rPr>
              <w:t>trezentos e sessenta</w:t>
            </w:r>
            <w:r w:rsidRPr="00AE2F51">
              <w:rPr>
                <w:b/>
                <w:szCs w:val="20"/>
              </w:rPr>
              <w:t>)</w:t>
            </w:r>
          </w:p>
        </w:tc>
      </w:tr>
    </w:tbl>
    <w:p w:rsidR="00E22493" w:rsidRPr="00E22493" w:rsidRDefault="00E22493" w:rsidP="00E22493"/>
    <w:p w:rsidR="005952E6" w:rsidRDefault="005952E6" w:rsidP="009017F5">
      <w:pPr>
        <w:pStyle w:val="Ttulo2"/>
        <w:numPr>
          <w:ilvl w:val="1"/>
          <w:numId w:val="24"/>
        </w:numPr>
        <w:ind w:left="0" w:firstLine="0"/>
        <w:rPr>
          <w:szCs w:val="20"/>
        </w:rPr>
      </w:pPr>
      <w:r w:rsidRPr="00E22493">
        <w:rPr>
          <w:szCs w:val="20"/>
        </w:rPr>
        <w:t xml:space="preserve">O prazo </w:t>
      </w:r>
      <w:r w:rsidR="00BC06EE" w:rsidRPr="00E22493">
        <w:rPr>
          <w:szCs w:val="20"/>
        </w:rPr>
        <w:t>de</w:t>
      </w:r>
      <w:r w:rsidRPr="00E22493">
        <w:rPr>
          <w:szCs w:val="20"/>
        </w:rPr>
        <w:t xml:space="preserve"> vigência do contrato</w:t>
      </w:r>
      <w:r w:rsidR="002B4BD1">
        <w:rPr>
          <w:szCs w:val="20"/>
        </w:rPr>
        <w:t xml:space="preserve"> firmado</w:t>
      </w:r>
      <w:r w:rsidR="00BC06EE" w:rsidRPr="00E22493">
        <w:rPr>
          <w:szCs w:val="20"/>
        </w:rPr>
        <w:t xml:space="preserve"> a partir do presente SRP</w:t>
      </w:r>
      <w:r w:rsidRPr="00E22493">
        <w:rPr>
          <w:szCs w:val="20"/>
        </w:rPr>
        <w:t xml:space="preserve">, </w:t>
      </w:r>
      <w:r w:rsidR="002B4BD1" w:rsidRPr="002B4BD1">
        <w:rPr>
          <w:szCs w:val="20"/>
          <w:u w:val="single"/>
        </w:rPr>
        <w:t xml:space="preserve">após </w:t>
      </w:r>
      <w:r w:rsidR="00BC06EE" w:rsidRPr="002B4BD1">
        <w:rPr>
          <w:szCs w:val="20"/>
          <w:u w:val="single"/>
        </w:rPr>
        <w:t>emissão da Ordem de</w:t>
      </w:r>
      <w:r w:rsidR="00BC06EE" w:rsidRPr="00E22493">
        <w:rPr>
          <w:szCs w:val="20"/>
          <w:u w:val="single"/>
        </w:rPr>
        <w:t xml:space="preserve"> Serviço</w:t>
      </w:r>
      <w:r w:rsidR="00BC06EE" w:rsidRPr="00E22493">
        <w:rPr>
          <w:szCs w:val="20"/>
        </w:rPr>
        <w:t xml:space="preserve">, </w:t>
      </w:r>
      <w:r w:rsidRPr="00E22493">
        <w:rPr>
          <w:szCs w:val="20"/>
        </w:rPr>
        <w:t>contado em dias consecutivos,</w:t>
      </w:r>
      <w:r w:rsidR="002810D1">
        <w:rPr>
          <w:szCs w:val="20"/>
        </w:rPr>
        <w:t xml:space="preserve"> </w:t>
      </w:r>
      <w:proofErr w:type="spellStart"/>
      <w:r w:rsidR="002810D1">
        <w:rPr>
          <w:szCs w:val="20"/>
        </w:rPr>
        <w:t>será</w:t>
      </w:r>
      <w:r w:rsidR="008F1E42" w:rsidRPr="00E22493">
        <w:rPr>
          <w:szCs w:val="20"/>
        </w:rPr>
        <w:t>igual</w:t>
      </w:r>
      <w:proofErr w:type="spellEnd"/>
      <w:r w:rsidR="008F1E42" w:rsidRPr="00E22493">
        <w:rPr>
          <w:szCs w:val="20"/>
        </w:rPr>
        <w:t xml:space="preserve"> ao</w:t>
      </w:r>
      <w:r w:rsidRPr="00E22493">
        <w:rPr>
          <w:szCs w:val="20"/>
        </w:rPr>
        <w:t xml:space="preserve"> prazo de execução do objeto informado acima, </w:t>
      </w:r>
      <w:r w:rsidR="008F1E42" w:rsidRPr="00E22493">
        <w:rPr>
          <w:szCs w:val="20"/>
        </w:rPr>
        <w:t>a depender do volume de serviço contratado</w:t>
      </w:r>
      <w:r w:rsidR="0006683E" w:rsidRPr="00E22493">
        <w:rPr>
          <w:szCs w:val="20"/>
        </w:rPr>
        <w:t>, respeitado o prazo estabelecido para a execução</w:t>
      </w:r>
      <w:r w:rsidRPr="00E22493">
        <w:rPr>
          <w:szCs w:val="20"/>
        </w:rPr>
        <w:t>.</w:t>
      </w:r>
    </w:p>
    <w:p w:rsidR="00B93904" w:rsidRPr="00B93904" w:rsidRDefault="00B93904" w:rsidP="00B93904">
      <w:bookmarkStart w:id="21" w:name="_Toc18400279"/>
      <w:bookmarkStart w:id="22" w:name="_Ref400008254"/>
      <w:bookmarkStart w:id="23" w:name="_Ref399939982"/>
      <w:bookmarkEnd w:id="20"/>
    </w:p>
    <w:p w:rsidR="00B93904" w:rsidRDefault="00B93904" w:rsidP="00B93904">
      <w:pPr>
        <w:pStyle w:val="Ttulo1"/>
        <w:numPr>
          <w:ilvl w:val="0"/>
          <w:numId w:val="24"/>
        </w:numPr>
        <w:rPr>
          <w:szCs w:val="20"/>
        </w:rPr>
      </w:pPr>
      <w:r w:rsidRPr="00B93904">
        <w:rPr>
          <w:szCs w:val="20"/>
        </w:rPr>
        <w:t>MATRIZ DE RISCO</w:t>
      </w:r>
    </w:p>
    <w:p w:rsidR="00185524" w:rsidRDefault="00185524" w:rsidP="00185524">
      <w:pPr>
        <w:pStyle w:val="Ttulo2"/>
        <w:numPr>
          <w:ilvl w:val="0"/>
          <w:numId w:val="0"/>
        </w:numPr>
      </w:pPr>
    </w:p>
    <w:p w:rsidR="00185524" w:rsidRPr="00185524" w:rsidRDefault="00185524" w:rsidP="00185524">
      <w:pPr>
        <w:pStyle w:val="Ttulo2"/>
        <w:numPr>
          <w:ilvl w:val="1"/>
          <w:numId w:val="24"/>
        </w:numPr>
        <w:ind w:left="0" w:firstLine="0"/>
        <w:rPr>
          <w:szCs w:val="20"/>
        </w:rPr>
      </w:pPr>
      <w:r w:rsidRPr="00185524">
        <w:rPr>
          <w:szCs w:val="20"/>
        </w:rPr>
        <w:t>A Matriz de Risco é o instrumento que tem o objetivo de definir as responsabilidades do CODEVASF e da CONTRATADA na execução do contrato.</w:t>
      </w:r>
    </w:p>
    <w:p w:rsidR="00185524" w:rsidRDefault="00185524" w:rsidP="00185524">
      <w:pPr>
        <w:pStyle w:val="Ttulo2"/>
        <w:numPr>
          <w:ilvl w:val="0"/>
          <w:numId w:val="0"/>
        </w:numPr>
      </w:pPr>
    </w:p>
    <w:p w:rsidR="00185524" w:rsidRDefault="00185524" w:rsidP="00185524">
      <w:pPr>
        <w:pStyle w:val="Ttulo2"/>
        <w:numPr>
          <w:ilvl w:val="1"/>
          <w:numId w:val="24"/>
        </w:numPr>
        <w:ind w:left="0" w:firstLine="0"/>
        <w:rPr>
          <w:szCs w:val="20"/>
        </w:rPr>
      </w:pPr>
      <w:r w:rsidRPr="00185524">
        <w:rPr>
          <w:szCs w:val="20"/>
        </w:rPr>
        <w:t>A CONTRATADA é integral e exclusivamente responsável por todos os riscos relacionados ao objeto do ajuste, inclusive, sem limitação, conforme estabelecido na MATRIZ DE RISCO - Anexo VIII do Edital.</w:t>
      </w:r>
    </w:p>
    <w:p w:rsidR="007D3392" w:rsidRDefault="007D3392" w:rsidP="007D3392"/>
    <w:p w:rsidR="007D3392" w:rsidRDefault="007D3392" w:rsidP="007D3392">
      <w:pPr>
        <w:pStyle w:val="Ttulo2"/>
        <w:numPr>
          <w:ilvl w:val="1"/>
          <w:numId w:val="24"/>
        </w:numPr>
        <w:ind w:left="0" w:firstLine="0"/>
        <w:rPr>
          <w:szCs w:val="20"/>
        </w:rPr>
      </w:pPr>
      <w:r w:rsidRPr="007D3392">
        <w:rPr>
          <w:szCs w:val="20"/>
        </w:rPr>
        <w:t>A CONTRATADA não é responsável pelos riscos relacionados ao objeto do ajuste quando a responsabilidade for da CODEVASF, conforme estabelecido na MATRIZ DE RISCO – Anexo VIII do Edital.</w:t>
      </w:r>
    </w:p>
    <w:p w:rsidR="003B4234" w:rsidRDefault="003B4234" w:rsidP="003B4234"/>
    <w:p w:rsidR="003B4234" w:rsidRDefault="003B4234" w:rsidP="003B4234">
      <w:pPr>
        <w:pStyle w:val="Ttulo2"/>
        <w:numPr>
          <w:ilvl w:val="1"/>
          <w:numId w:val="24"/>
        </w:numPr>
        <w:ind w:left="0" w:firstLine="0"/>
        <w:rPr>
          <w:szCs w:val="20"/>
        </w:rPr>
      </w:pPr>
      <w:r w:rsidRPr="003B4234">
        <w:rPr>
          <w:szCs w:val="20"/>
        </w:rPr>
        <w:t xml:space="preserve">A </w:t>
      </w:r>
      <w:r>
        <w:rPr>
          <w:szCs w:val="20"/>
        </w:rPr>
        <w:t>CONTRATADA</w:t>
      </w:r>
      <w:r w:rsidRPr="003B4234">
        <w:rPr>
          <w:szCs w:val="20"/>
        </w:rPr>
        <w:t xml:space="preserve"> tem pleno conhecimento, quando da participação do processo licitatório, da natureza e extensão dos riscos por ela assumidos e ter levado tais riscos em consideração na formulação de sua proposta.</w:t>
      </w:r>
    </w:p>
    <w:p w:rsidR="00EB7F71" w:rsidRDefault="00EB7F71" w:rsidP="00EB7F71"/>
    <w:p w:rsidR="00EB7F71" w:rsidRDefault="00EB7F71" w:rsidP="00EB7F71">
      <w:pPr>
        <w:pStyle w:val="Ttulo2"/>
        <w:numPr>
          <w:ilvl w:val="1"/>
          <w:numId w:val="24"/>
        </w:numPr>
        <w:ind w:left="0" w:firstLine="0"/>
        <w:rPr>
          <w:szCs w:val="20"/>
        </w:rPr>
      </w:pPr>
      <w:r w:rsidRPr="00EB7F71">
        <w:rPr>
          <w:szCs w:val="20"/>
        </w:rPr>
        <w:t>Sempre que atendidas as condições do CONTRATO e mantida</w:t>
      </w:r>
      <w:r>
        <w:rPr>
          <w:szCs w:val="20"/>
        </w:rPr>
        <w:t>s</w:t>
      </w:r>
      <w:r w:rsidRPr="00EB7F71">
        <w:rPr>
          <w:szCs w:val="20"/>
        </w:rPr>
        <w:t xml:space="preserve"> as disposições da MATRIZ DE RISCO, considera-se mantido seu equilíbrio econômico-financeiro.</w:t>
      </w:r>
    </w:p>
    <w:p w:rsidR="00EB7F71" w:rsidRDefault="00EB7F71" w:rsidP="00EB7F71"/>
    <w:p w:rsidR="00EB7F71" w:rsidRDefault="00EB7F71" w:rsidP="00EB7F71">
      <w:pPr>
        <w:pStyle w:val="Ttulo2"/>
        <w:numPr>
          <w:ilvl w:val="1"/>
          <w:numId w:val="24"/>
        </w:numPr>
        <w:ind w:left="0" w:firstLine="0"/>
        <w:rPr>
          <w:szCs w:val="20"/>
        </w:rPr>
      </w:pPr>
      <w:r w:rsidRPr="00EB7F71">
        <w:rPr>
          <w:szCs w:val="20"/>
        </w:rPr>
        <w:t>A CONTRATADA somente poderá solicitar a recomposição do equilíbrio econômico-financeiro nas hipóteses excluídas de sua responsabilidade na MATRIZ DE RISCO.</w:t>
      </w:r>
    </w:p>
    <w:p w:rsidR="00EB7F71" w:rsidRDefault="00EB7F71" w:rsidP="00EB7F71"/>
    <w:p w:rsidR="00EB7F71" w:rsidRPr="00EB7F71" w:rsidRDefault="00EB7F71" w:rsidP="00EB7F71">
      <w:pPr>
        <w:pStyle w:val="Ttulo2"/>
        <w:numPr>
          <w:ilvl w:val="1"/>
          <w:numId w:val="24"/>
        </w:numPr>
        <w:ind w:left="0" w:firstLine="0"/>
        <w:rPr>
          <w:szCs w:val="20"/>
        </w:rPr>
      </w:pPr>
      <w:r w:rsidRPr="00EB7F71">
        <w:rPr>
          <w:szCs w:val="20"/>
        </w:rPr>
        <w:t>Os casos omissos serão objeto de análise acurada e criteriosa, lastreada em elementos técnicos, por intermédio de processo administrativo para apurar o caso concreto.</w:t>
      </w:r>
    </w:p>
    <w:p w:rsidR="00185524" w:rsidRPr="00185524" w:rsidRDefault="00185524" w:rsidP="00185524"/>
    <w:p w:rsidR="00185524" w:rsidRPr="00185524" w:rsidRDefault="00185524" w:rsidP="00185524"/>
    <w:p w:rsidR="00F91DC3" w:rsidRPr="009B0576" w:rsidRDefault="00F91DC3" w:rsidP="009017F5">
      <w:pPr>
        <w:pStyle w:val="Ttulo1"/>
        <w:numPr>
          <w:ilvl w:val="0"/>
          <w:numId w:val="24"/>
        </w:numPr>
        <w:rPr>
          <w:szCs w:val="20"/>
        </w:rPr>
      </w:pPr>
      <w:r w:rsidRPr="009B0576">
        <w:rPr>
          <w:szCs w:val="20"/>
        </w:rPr>
        <w:t>FORMAS E CONDIÇÕES DE PAGAMENTO</w:t>
      </w:r>
      <w:bookmarkEnd w:id="21"/>
    </w:p>
    <w:p w:rsidR="00F91DC3" w:rsidRPr="009B0576" w:rsidRDefault="00F91DC3" w:rsidP="00F91DC3">
      <w:pPr>
        <w:rPr>
          <w:szCs w:val="20"/>
        </w:rPr>
      </w:pPr>
    </w:p>
    <w:p w:rsidR="008F327D" w:rsidRPr="009B0576" w:rsidRDefault="00F67F6A" w:rsidP="009017F5">
      <w:pPr>
        <w:pStyle w:val="Ttulo2"/>
        <w:numPr>
          <w:ilvl w:val="1"/>
          <w:numId w:val="24"/>
        </w:numPr>
        <w:ind w:left="0" w:firstLine="0"/>
        <w:rPr>
          <w:szCs w:val="20"/>
        </w:rPr>
      </w:pPr>
      <w:r w:rsidRPr="009B0576">
        <w:rPr>
          <w:szCs w:val="20"/>
        </w:rPr>
        <w:t>Os pagamentos d</w:t>
      </w:r>
      <w:r w:rsidR="008830C2" w:rsidRPr="009B0576">
        <w:rPr>
          <w:szCs w:val="20"/>
        </w:rPr>
        <w:t>os</w:t>
      </w:r>
      <w:r w:rsidRPr="009B0576">
        <w:rPr>
          <w:szCs w:val="20"/>
        </w:rPr>
        <w:t xml:space="preserve"> serviços de engenharia serão efetuados em reais, com base nas medições </w:t>
      </w:r>
      <w:r w:rsidR="00A548A2" w:rsidRPr="009B0576">
        <w:rPr>
          <w:szCs w:val="20"/>
        </w:rPr>
        <w:t>mensais conforme o que foi efetivamente executado no período</w:t>
      </w:r>
      <w:r w:rsidRPr="009B0576">
        <w:rPr>
          <w:szCs w:val="20"/>
        </w:rPr>
        <w:t xml:space="preserve">, e contra a apresentação da Fatura/Notas Fiscais, devidamente atestada pela fiscalização da </w:t>
      </w:r>
      <w:r w:rsidR="009B0576" w:rsidRPr="007D3F24">
        <w:t>CODEVASF</w:t>
      </w:r>
      <w:r w:rsidRPr="009B0576">
        <w:rPr>
          <w:szCs w:val="20"/>
        </w:rPr>
        <w:t xml:space="preserve">, formalmente designada, e do respectivo Boletim de </w:t>
      </w:r>
      <w:r w:rsidR="00017E28" w:rsidRPr="009B0576">
        <w:rPr>
          <w:szCs w:val="20"/>
        </w:rPr>
        <w:t>M</w:t>
      </w:r>
      <w:r w:rsidRPr="009B0576">
        <w:rPr>
          <w:szCs w:val="20"/>
        </w:rPr>
        <w:t>edição referente ao mês de competência, observando-se o disposto nos subitens seguintes:</w:t>
      </w:r>
    </w:p>
    <w:p w:rsidR="00B8377E" w:rsidRPr="009B0576" w:rsidRDefault="00B8377E" w:rsidP="008F327D">
      <w:pPr>
        <w:rPr>
          <w:color w:val="0070C0"/>
          <w:szCs w:val="20"/>
        </w:rPr>
      </w:pPr>
    </w:p>
    <w:p w:rsidR="008F327D" w:rsidRPr="009B0576" w:rsidRDefault="008F327D" w:rsidP="009017F5">
      <w:pPr>
        <w:pStyle w:val="Ttulo3"/>
        <w:numPr>
          <w:ilvl w:val="2"/>
          <w:numId w:val="24"/>
        </w:numPr>
        <w:rPr>
          <w:szCs w:val="20"/>
        </w:rPr>
      </w:pPr>
      <w:r w:rsidRPr="009B0576">
        <w:rPr>
          <w:b/>
          <w:szCs w:val="20"/>
        </w:rPr>
        <w:t xml:space="preserve">A </w:t>
      </w:r>
      <w:r w:rsidR="00A66311" w:rsidRPr="00A66311">
        <w:rPr>
          <w:b/>
        </w:rPr>
        <w:t>CODEVASF</w:t>
      </w:r>
      <w:r w:rsidRPr="009B0576">
        <w:rPr>
          <w:b/>
          <w:szCs w:val="20"/>
        </w:rPr>
        <w:t xml:space="preserve"> somente pagará a </w:t>
      </w:r>
      <w:r w:rsidR="00E80740" w:rsidRPr="009B0576">
        <w:rPr>
          <w:b/>
          <w:szCs w:val="20"/>
        </w:rPr>
        <w:t>CONTRATADA</w:t>
      </w:r>
      <w:r w:rsidRPr="009B0576">
        <w:rPr>
          <w:b/>
          <w:szCs w:val="20"/>
        </w:rPr>
        <w:t xml:space="preserve"> pelos serviços efetivamente executados</w:t>
      </w:r>
      <w:r w:rsidRPr="009B0576">
        <w:rPr>
          <w:szCs w:val="20"/>
        </w:rPr>
        <w:t xml:space="preserve">, </w:t>
      </w:r>
      <w:r w:rsidR="005B5672" w:rsidRPr="009B0576">
        <w:rPr>
          <w:szCs w:val="20"/>
        </w:rPr>
        <w:t>com base n</w:t>
      </w:r>
      <w:r w:rsidRPr="009B0576">
        <w:rPr>
          <w:szCs w:val="20"/>
        </w:rPr>
        <w:t>os preços integrantes da proposta aprovada e, caso aplicável, a incidência de reajustamento e reequilíbrio econômico financeiro e atualização financeira.</w:t>
      </w:r>
    </w:p>
    <w:p w:rsidR="008F327D" w:rsidRPr="009B0576" w:rsidRDefault="008F327D" w:rsidP="001C1004">
      <w:pPr>
        <w:rPr>
          <w:color w:val="000000" w:themeColor="text1"/>
          <w:szCs w:val="20"/>
        </w:rPr>
      </w:pPr>
    </w:p>
    <w:p w:rsidR="00616450" w:rsidRPr="009B0576" w:rsidRDefault="00616450" w:rsidP="009017F5">
      <w:pPr>
        <w:pStyle w:val="Ttulo3"/>
        <w:numPr>
          <w:ilvl w:val="2"/>
          <w:numId w:val="24"/>
        </w:numPr>
        <w:rPr>
          <w:szCs w:val="20"/>
        </w:rPr>
      </w:pPr>
      <w:r w:rsidRPr="009B0576">
        <w:rPr>
          <w:szCs w:val="20"/>
        </w:rPr>
        <w:t>Somente serão pagos os materiais e equipamentos instalados, assentados e utilizados, mediante atesto pelo fiscal do contrato.</w:t>
      </w:r>
    </w:p>
    <w:p w:rsidR="00616450" w:rsidRPr="009B0576" w:rsidRDefault="00616450" w:rsidP="001C1004">
      <w:pPr>
        <w:rPr>
          <w:color w:val="000000" w:themeColor="text1"/>
          <w:szCs w:val="20"/>
        </w:rPr>
      </w:pPr>
    </w:p>
    <w:p w:rsidR="008F327D" w:rsidRPr="009B0576" w:rsidRDefault="008F327D" w:rsidP="009017F5">
      <w:pPr>
        <w:pStyle w:val="Ttulo3"/>
        <w:numPr>
          <w:ilvl w:val="2"/>
          <w:numId w:val="24"/>
        </w:numPr>
        <w:rPr>
          <w:szCs w:val="20"/>
        </w:rPr>
      </w:pPr>
      <w:r w:rsidRPr="009B0576">
        <w:rPr>
          <w:szCs w:val="20"/>
        </w:rPr>
        <w:t>Nos preços apresentados pela Licitante deverão estar incluídos todos os custos diretos e indiretos para a execução dos serviços, de acordo com as condições previstas no Edital e seus anexos, constituindo-se na única remuneração possível de ser atribuída pelos trabalhos contratados e executados.</w:t>
      </w:r>
    </w:p>
    <w:p w:rsidR="00F91DC3" w:rsidRPr="009B0576" w:rsidRDefault="00F91DC3" w:rsidP="00F91DC3">
      <w:pPr>
        <w:rPr>
          <w:szCs w:val="20"/>
        </w:rPr>
      </w:pPr>
    </w:p>
    <w:p w:rsidR="002A2784" w:rsidRPr="009B0576" w:rsidRDefault="00F91DC3" w:rsidP="009017F5">
      <w:pPr>
        <w:pStyle w:val="Ttulo2"/>
        <w:numPr>
          <w:ilvl w:val="1"/>
          <w:numId w:val="24"/>
        </w:numPr>
        <w:ind w:left="0" w:firstLine="0"/>
        <w:rPr>
          <w:szCs w:val="20"/>
        </w:rPr>
      </w:pPr>
      <w:r w:rsidRPr="009B0576">
        <w:rPr>
          <w:szCs w:val="20"/>
        </w:rPr>
        <w:t xml:space="preserve">O cronograma físico-financeiro apresentado pela licitante deve atender as exigências deste </w:t>
      </w:r>
      <w:r w:rsidR="004A023E" w:rsidRPr="009B0576">
        <w:rPr>
          <w:szCs w:val="20"/>
        </w:rPr>
        <w:t xml:space="preserve">TR </w:t>
      </w:r>
      <w:r w:rsidRPr="009B0576">
        <w:rPr>
          <w:szCs w:val="20"/>
        </w:rPr>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9B0576">
        <w:rPr>
          <w:szCs w:val="20"/>
        </w:rPr>
        <w:t>o</w:t>
      </w:r>
      <w:r w:rsidR="002A2784" w:rsidRPr="009B0576">
        <w:rPr>
          <w:color w:val="000000"/>
          <w:szCs w:val="20"/>
        </w:rPr>
        <w:t xml:space="preserve">u durante a execução do contrato, desde que devidamente autuado em processo, contemporâneo à sua ocorrência (Art. </w:t>
      </w:r>
      <w:r w:rsidR="00044E17" w:rsidRPr="009B0576">
        <w:rPr>
          <w:color w:val="000000"/>
          <w:szCs w:val="20"/>
        </w:rPr>
        <w:t>81</w:t>
      </w:r>
      <w:r w:rsidR="002A2784" w:rsidRPr="009B0576">
        <w:rPr>
          <w:color w:val="000000"/>
          <w:szCs w:val="20"/>
        </w:rPr>
        <w:t xml:space="preserve"> da Lei nº </w:t>
      </w:r>
      <w:r w:rsidR="00044E17" w:rsidRPr="009B0576">
        <w:rPr>
          <w:color w:val="000000"/>
          <w:szCs w:val="20"/>
        </w:rPr>
        <w:t>13.303/2016</w:t>
      </w:r>
      <w:r w:rsidR="002A2784" w:rsidRPr="009B0576">
        <w:rPr>
          <w:color w:val="000000"/>
          <w:szCs w:val="20"/>
        </w:rPr>
        <w:t>).</w:t>
      </w:r>
    </w:p>
    <w:p w:rsidR="00B40EAE" w:rsidRDefault="00B40EAE" w:rsidP="00F478CA">
      <w:pPr>
        <w:rPr>
          <w:szCs w:val="20"/>
        </w:rPr>
      </w:pPr>
    </w:p>
    <w:p w:rsidR="00A033F2" w:rsidRPr="009B0576" w:rsidRDefault="00A033F2" w:rsidP="00F478CA">
      <w:pPr>
        <w:rPr>
          <w:szCs w:val="20"/>
        </w:rPr>
      </w:pPr>
    </w:p>
    <w:p w:rsidR="00830119" w:rsidRPr="00EB3286" w:rsidRDefault="00830119" w:rsidP="009017F5">
      <w:pPr>
        <w:pStyle w:val="Ttulo1"/>
        <w:numPr>
          <w:ilvl w:val="0"/>
          <w:numId w:val="24"/>
        </w:numPr>
      </w:pPr>
      <w:bookmarkStart w:id="24" w:name="_Ref400457614"/>
      <w:bookmarkStart w:id="25" w:name="_Toc18400280"/>
      <w:bookmarkEnd w:id="22"/>
      <w:r w:rsidRPr="00EB3286">
        <w:t>REAJUSTAMENTO</w:t>
      </w:r>
      <w:bookmarkEnd w:id="23"/>
      <w:bookmarkEnd w:id="24"/>
      <w:bookmarkEnd w:id="25"/>
    </w:p>
    <w:p w:rsidR="00830119" w:rsidRPr="00EB3286" w:rsidRDefault="00830119" w:rsidP="00830119">
      <w:pPr>
        <w:rPr>
          <w:szCs w:val="20"/>
        </w:rPr>
      </w:pPr>
    </w:p>
    <w:p w:rsidR="00830119" w:rsidRPr="00EB3286" w:rsidRDefault="00830119" w:rsidP="009017F5">
      <w:pPr>
        <w:pStyle w:val="Ttulo2"/>
        <w:numPr>
          <w:ilvl w:val="1"/>
          <w:numId w:val="24"/>
        </w:numPr>
        <w:ind w:left="0" w:firstLine="0"/>
      </w:pPr>
      <w:r w:rsidRPr="00EB3286">
        <w:t>Os preços permanecerão válidos por um período de um ano, contados da data de apresentação da proposta. Após este prazo serão reajustados aplicando-se a seguinte fórmula (desde que todos os índices tenham a mesma data base):</w:t>
      </w:r>
    </w:p>
    <w:p w:rsidR="004E334D" w:rsidRDefault="004E334D" w:rsidP="00830119">
      <w:pPr>
        <w:rPr>
          <w:rFonts w:eastAsiaTheme="minorEastAsia"/>
          <w:b/>
          <w:szCs w:val="20"/>
        </w:rPr>
      </w:pPr>
    </w:p>
    <w:p w:rsidR="000B215F" w:rsidRDefault="000B215F" w:rsidP="00830119">
      <w:pPr>
        <w:rPr>
          <w:rFonts w:eastAsiaTheme="minorEastAsia"/>
          <w:b/>
          <w:szCs w:val="20"/>
        </w:rPr>
      </w:pPr>
    </w:p>
    <w:p w:rsidR="000B215F" w:rsidRPr="00EB3286" w:rsidRDefault="000B215F" w:rsidP="000B215F">
      <w:pPr>
        <w:rPr>
          <w:szCs w:val="20"/>
        </w:rPr>
      </w:pPr>
      <m:oMathPara>
        <m:oMathParaPr>
          <m:jc m:val="center"/>
        </m:oMathParaPr>
        <m:oMath>
          <m:r>
            <m:rPr>
              <m:sty m:val="bi"/>
            </m:rPr>
            <w:rPr>
              <w:rFonts w:ascii="Cambria Math" w:hAnsi="Cambria Math"/>
              <w:szCs w:val="20"/>
            </w:rPr>
            <m:t>R</m:t>
          </m:r>
          <m:r>
            <m:rPr>
              <m:sty m:val="p"/>
            </m:rPr>
            <w:rPr>
              <w:rFonts w:ascii="Cambria Math" w:hAnsi="Cambria Math"/>
              <w:szCs w:val="20"/>
            </w:rPr>
            <m:t>=</m:t>
          </m:r>
          <m:r>
            <m:rPr>
              <m:sty m:val="bi"/>
            </m:rPr>
            <w:rPr>
              <w:rFonts w:ascii="Cambria Math" w:hAnsi="Cambria Math"/>
              <w:szCs w:val="20"/>
            </w:rPr>
            <m:t>Vx</m:t>
          </m:r>
          <m:d>
            <m:dPr>
              <m:begChr m:val="["/>
              <m:endChr m:val="]"/>
              <m:ctrlPr>
                <w:rPr>
                  <w:rFonts w:ascii="Cambria Math" w:hAnsi="Cambria Math"/>
                  <w:szCs w:val="20"/>
                </w:rPr>
              </m:ctrlPr>
            </m:dPr>
            <m:e>
              <m:r>
                <w:rPr>
                  <w:rFonts w:ascii="Cambria Math" w:hAnsi="Cambria Math"/>
                  <w:szCs w:val="20"/>
                </w:rPr>
                <m:t xml:space="preserve">N1 x </m:t>
              </m:r>
              <m:f>
                <m:fPr>
                  <m:ctrlPr>
                    <w:rPr>
                      <w:rFonts w:ascii="Cambria Math" w:hAnsi="Cambria Math"/>
                      <w:i/>
                      <w:szCs w:val="20"/>
                    </w:rPr>
                  </m:ctrlPr>
                </m:fPr>
                <m:num>
                  <m:r>
                    <w:rPr>
                      <w:rFonts w:ascii="Cambria Math" w:hAnsi="Cambria Math"/>
                      <w:szCs w:val="20"/>
                    </w:rPr>
                    <m:t>Ti-To</m:t>
                  </m:r>
                </m:num>
                <m:den>
                  <m:r>
                    <w:rPr>
                      <w:rFonts w:ascii="Cambria Math" w:hAnsi="Cambria Math"/>
                      <w:szCs w:val="20"/>
                    </w:rPr>
                    <m:t>To</m:t>
                  </m:r>
                </m:den>
              </m:f>
              <m:r>
                <w:rPr>
                  <w:rFonts w:ascii="Cambria Math" w:hAnsi="Cambria Math"/>
                  <w:szCs w:val="20"/>
                </w:rPr>
                <m:t xml:space="preserve">+N2 x </m:t>
              </m:r>
              <m:f>
                <m:fPr>
                  <m:ctrlPr>
                    <w:rPr>
                      <w:rFonts w:ascii="Cambria Math" w:hAnsi="Cambria Math"/>
                      <w:i/>
                      <w:szCs w:val="20"/>
                    </w:rPr>
                  </m:ctrlPr>
                </m:fPr>
                <m:num>
                  <m:r>
                    <w:rPr>
                      <w:rFonts w:ascii="Cambria Math" w:hAnsi="Cambria Math"/>
                      <w:szCs w:val="20"/>
                    </w:rPr>
                    <m:t>Ei-Eo</m:t>
                  </m:r>
                </m:num>
                <m:den>
                  <m:r>
                    <w:rPr>
                      <w:rFonts w:ascii="Cambria Math" w:hAnsi="Cambria Math"/>
                      <w:szCs w:val="20"/>
                    </w:rPr>
                    <m:t>Eo</m:t>
                  </m:r>
                </m:den>
              </m:f>
              <m:r>
                <w:rPr>
                  <w:rFonts w:ascii="Cambria Math" w:hAnsi="Cambria Math"/>
                  <w:szCs w:val="20"/>
                </w:rPr>
                <m:t xml:space="preserve">+  N3 x </m:t>
              </m:r>
              <m:f>
                <m:fPr>
                  <m:ctrlPr>
                    <w:rPr>
                      <w:rFonts w:ascii="Cambria Math" w:hAnsi="Cambria Math"/>
                      <w:i/>
                      <w:szCs w:val="20"/>
                    </w:rPr>
                  </m:ctrlPr>
                </m:fPr>
                <m:num>
                  <m:r>
                    <w:rPr>
                      <w:rFonts w:ascii="Cambria Math" w:hAnsi="Cambria Math"/>
                      <w:szCs w:val="20"/>
                    </w:rPr>
                    <m:t>Fi-Fo</m:t>
                  </m:r>
                </m:num>
                <m:den>
                  <m:r>
                    <w:rPr>
                      <w:rFonts w:ascii="Cambria Math" w:hAnsi="Cambria Math"/>
                      <w:szCs w:val="20"/>
                    </w:rPr>
                    <m:t>Fo</m:t>
                  </m:r>
                </m:den>
              </m:f>
              <m:r>
                <w:rPr>
                  <w:rFonts w:ascii="Cambria Math" w:hAnsi="Cambria Math"/>
                  <w:szCs w:val="20"/>
                </w:rPr>
                <m:t xml:space="preserve">+N4 x </m:t>
              </m:r>
              <m:f>
                <m:fPr>
                  <m:ctrlPr>
                    <w:rPr>
                      <w:rFonts w:ascii="Cambria Math" w:hAnsi="Cambria Math"/>
                      <w:i/>
                      <w:szCs w:val="20"/>
                    </w:rPr>
                  </m:ctrlPr>
                </m:fPr>
                <m:num>
                  <m:r>
                    <w:rPr>
                      <w:rFonts w:ascii="Cambria Math" w:hAnsi="Cambria Math"/>
                      <w:szCs w:val="20"/>
                    </w:rPr>
                    <m:t>CAi-CAo</m:t>
                  </m:r>
                </m:num>
                <m:den>
                  <m:r>
                    <w:rPr>
                      <w:rFonts w:ascii="Cambria Math" w:hAnsi="Cambria Math"/>
                      <w:szCs w:val="20"/>
                    </w:rPr>
                    <m:t>CAo</m:t>
                  </m:r>
                </m:den>
              </m:f>
            </m:e>
          </m:d>
        </m:oMath>
      </m:oMathPara>
    </w:p>
    <w:p w:rsidR="000B215F" w:rsidRPr="003F0DDC" w:rsidRDefault="000B215F" w:rsidP="000B215F">
      <w:r w:rsidRPr="003F0DDC">
        <w:rPr>
          <w:szCs w:val="20"/>
        </w:rPr>
        <w:t>Onde:</w:t>
      </w:r>
    </w:p>
    <w:p w:rsidR="000B215F" w:rsidRPr="003F0DDC" w:rsidRDefault="000B215F" w:rsidP="000B215F">
      <w:pPr>
        <w:pStyle w:val="PargrafodaLista"/>
        <w:numPr>
          <w:ilvl w:val="0"/>
          <w:numId w:val="4"/>
        </w:numPr>
      </w:pPr>
      <w:r w:rsidRPr="003F0DDC">
        <w:t>R: valor do reajustamento</w:t>
      </w:r>
    </w:p>
    <w:p w:rsidR="000B215F" w:rsidRPr="003F0DDC" w:rsidRDefault="000B215F" w:rsidP="000B215F">
      <w:pPr>
        <w:pStyle w:val="PargrafodaLista"/>
        <w:numPr>
          <w:ilvl w:val="0"/>
          <w:numId w:val="4"/>
        </w:numPr>
      </w:pPr>
      <w:r w:rsidRPr="003F0DDC">
        <w:t>V: valor a ser reajustado</w:t>
      </w:r>
    </w:p>
    <w:p w:rsidR="000B215F" w:rsidRPr="003F0DDC" w:rsidRDefault="000B215F" w:rsidP="000B215F">
      <w:pPr>
        <w:pStyle w:val="PargrafodaLista"/>
        <w:numPr>
          <w:ilvl w:val="0"/>
          <w:numId w:val="4"/>
        </w:numPr>
      </w:pPr>
      <w:r w:rsidRPr="003F0DDC">
        <w:t>N</w:t>
      </w:r>
      <w:r w:rsidR="005D7405" w:rsidRPr="003F0DDC">
        <w:t>1</w:t>
      </w:r>
      <w:r w:rsidRPr="003F0DDC">
        <w:t xml:space="preserve">: percentual de ponderação de serviços de </w:t>
      </w:r>
      <w:r w:rsidR="005D7405" w:rsidRPr="003F0DDC">
        <w:t xml:space="preserve">Artigos de Borracha e de Material </w:t>
      </w:r>
      <w:r w:rsidRPr="003F0DDC">
        <w:t>frente à totalidade dos serviços a executar.</w:t>
      </w:r>
    </w:p>
    <w:p w:rsidR="008D1CEB" w:rsidRPr="003F0DDC" w:rsidRDefault="008D1CEB" w:rsidP="008D1CEB">
      <w:pPr>
        <w:pStyle w:val="PargrafodaLista"/>
        <w:numPr>
          <w:ilvl w:val="0"/>
          <w:numId w:val="0"/>
        </w:numPr>
        <w:ind w:left="720"/>
      </w:pPr>
    </w:p>
    <w:p w:rsidR="000B215F" w:rsidRPr="003F0DDC" w:rsidRDefault="000B215F" w:rsidP="000B215F">
      <w:pPr>
        <w:pStyle w:val="PargrafodaLista"/>
        <w:numPr>
          <w:ilvl w:val="0"/>
          <w:numId w:val="4"/>
        </w:numPr>
      </w:pPr>
      <w:r w:rsidRPr="003F0DDC">
        <w:t>N</w:t>
      </w:r>
      <w:r w:rsidR="005F680E" w:rsidRPr="003F0DDC">
        <w:t>2</w:t>
      </w:r>
      <w:r w:rsidRPr="003F0DDC">
        <w:t xml:space="preserve">: percentual de ponderação de serviços de </w:t>
      </w:r>
      <w:r w:rsidR="005F680E" w:rsidRPr="003F0DDC">
        <w:t>Transformação-Metalúrgica Básica</w:t>
      </w:r>
      <w:r w:rsidRPr="003F0DDC">
        <w:t xml:space="preserve"> frente à totalidade dos serviços a executar.</w:t>
      </w:r>
    </w:p>
    <w:p w:rsidR="008D1CEB" w:rsidRPr="003F0DDC" w:rsidRDefault="008D1CEB" w:rsidP="008D1CEB">
      <w:pPr>
        <w:ind w:left="360"/>
      </w:pPr>
    </w:p>
    <w:p w:rsidR="000B215F" w:rsidRDefault="000B215F" w:rsidP="000B215F">
      <w:pPr>
        <w:pStyle w:val="PargrafodaLista"/>
        <w:numPr>
          <w:ilvl w:val="0"/>
          <w:numId w:val="4"/>
        </w:numPr>
      </w:pPr>
      <w:r w:rsidRPr="003F0DDC">
        <w:t>N</w:t>
      </w:r>
      <w:r w:rsidR="00DD3967" w:rsidRPr="003F0DDC">
        <w:t>3</w:t>
      </w:r>
      <w:r w:rsidRPr="003F0DDC">
        <w:t xml:space="preserve">: percentual de ponderação de </w:t>
      </w:r>
      <w:r w:rsidR="00E10ADA">
        <w:t xml:space="preserve">serviços de </w:t>
      </w:r>
      <w:proofErr w:type="gramStart"/>
      <w:r w:rsidR="00DD3967" w:rsidRPr="003F0DDC">
        <w:t>Transformação -</w:t>
      </w:r>
      <w:proofErr w:type="spellStart"/>
      <w:r w:rsidR="00DD3967" w:rsidRPr="003F0DDC">
        <w:t>Máq</w:t>
      </w:r>
      <w:proofErr w:type="spellEnd"/>
      <w:proofErr w:type="gramEnd"/>
      <w:r w:rsidR="00DD3967" w:rsidRPr="003F0DDC">
        <w:t xml:space="preserve">. Aparelhos e Materiais Elétricos </w:t>
      </w:r>
      <w:r w:rsidRPr="003F0DDC">
        <w:t>frente à totalidade dos serviços a executar.</w:t>
      </w:r>
    </w:p>
    <w:p w:rsidR="00E10ADA" w:rsidRDefault="00E10ADA" w:rsidP="00E10ADA">
      <w:pPr>
        <w:pStyle w:val="PargrafodaLista"/>
        <w:numPr>
          <w:ilvl w:val="0"/>
          <w:numId w:val="0"/>
        </w:numPr>
        <w:ind w:left="720"/>
      </w:pPr>
    </w:p>
    <w:p w:rsidR="00E10ADA" w:rsidRDefault="00E10ADA" w:rsidP="00E10ADA">
      <w:pPr>
        <w:pStyle w:val="PargrafodaLista"/>
        <w:numPr>
          <w:ilvl w:val="0"/>
          <w:numId w:val="4"/>
        </w:numPr>
      </w:pPr>
      <w:r w:rsidRPr="003F0DDC">
        <w:t>N</w:t>
      </w:r>
      <w:r>
        <w:t>4</w:t>
      </w:r>
      <w:r w:rsidRPr="003F0DDC">
        <w:t xml:space="preserve">: </w:t>
      </w:r>
      <w:r w:rsidR="004D6469" w:rsidRPr="00C525C4">
        <w:rPr>
          <w:szCs w:val="20"/>
        </w:rPr>
        <w:t>percentual de ponderação de serviços de Concreto Armado frente à totalidade dos serviços a executar</w:t>
      </w:r>
      <w:r w:rsidRPr="003F0DDC">
        <w:t>.</w:t>
      </w:r>
    </w:p>
    <w:p w:rsidR="008D1CEB" w:rsidRPr="003F0DDC" w:rsidRDefault="008D1CEB" w:rsidP="008D1CEB">
      <w:pPr>
        <w:pStyle w:val="PargrafodaLista"/>
        <w:numPr>
          <w:ilvl w:val="0"/>
          <w:numId w:val="0"/>
        </w:numPr>
        <w:ind w:left="720"/>
      </w:pPr>
    </w:p>
    <w:p w:rsidR="006E3E0E" w:rsidRPr="003F0DDC" w:rsidRDefault="006E3E0E" w:rsidP="006E3E0E">
      <w:pPr>
        <w:pStyle w:val="PargrafodaLista"/>
        <w:numPr>
          <w:ilvl w:val="0"/>
          <w:numId w:val="4"/>
        </w:numPr>
      </w:pPr>
      <w:r w:rsidRPr="003F0DDC">
        <w:t xml:space="preserve">Ti: Refere-se ao </w:t>
      </w:r>
      <w:proofErr w:type="spellStart"/>
      <w:r w:rsidRPr="003F0DDC">
        <w:t>IPA-Origem-OG-DI-Produtos</w:t>
      </w:r>
      <w:proofErr w:type="spellEnd"/>
      <w:r w:rsidRPr="003F0DDC">
        <w:t xml:space="preserve"> Industriais – Artigos de Borracha e de Material Plástico, cód. </w:t>
      </w:r>
      <w:proofErr w:type="gramStart"/>
      <w:r w:rsidRPr="003F0DDC">
        <w:t>AO 1420741</w:t>
      </w:r>
      <w:proofErr w:type="gramEnd"/>
      <w:r w:rsidRPr="003F0DDC">
        <w:t>, correspondente ao mês de aniversário da proposta.</w:t>
      </w:r>
    </w:p>
    <w:p w:rsidR="006E3E0E" w:rsidRPr="003F0DDC" w:rsidRDefault="006E3E0E" w:rsidP="006E3E0E">
      <w:pPr>
        <w:pStyle w:val="PargrafodaLista"/>
        <w:numPr>
          <w:ilvl w:val="0"/>
          <w:numId w:val="4"/>
        </w:numPr>
      </w:pPr>
      <w:r w:rsidRPr="003F0DDC">
        <w:t xml:space="preserve">To: Refere-se ao </w:t>
      </w:r>
      <w:proofErr w:type="spellStart"/>
      <w:r w:rsidRPr="003F0DDC">
        <w:t>IPA-Origem-OG-DI-Produtos</w:t>
      </w:r>
      <w:proofErr w:type="spellEnd"/>
      <w:r w:rsidRPr="003F0DDC">
        <w:t xml:space="preserve"> Industriais – Artigos de Borracha e de Material Plástico, cód. </w:t>
      </w:r>
      <w:proofErr w:type="gramStart"/>
      <w:r w:rsidRPr="003F0DDC">
        <w:t>AO 1420741</w:t>
      </w:r>
      <w:proofErr w:type="gramEnd"/>
      <w:r w:rsidRPr="003F0DDC">
        <w:t>, correspondente à data de apresentação da proposta.</w:t>
      </w:r>
    </w:p>
    <w:p w:rsidR="008D1CEB" w:rsidRPr="003F0DDC" w:rsidRDefault="008D1CEB" w:rsidP="008D1CEB">
      <w:pPr>
        <w:pStyle w:val="PargrafodaLista"/>
        <w:numPr>
          <w:ilvl w:val="0"/>
          <w:numId w:val="0"/>
        </w:numPr>
        <w:ind w:left="720"/>
      </w:pPr>
    </w:p>
    <w:p w:rsidR="006E3E0E" w:rsidRPr="003F0DDC" w:rsidRDefault="000B215F" w:rsidP="00C3224F">
      <w:pPr>
        <w:pStyle w:val="PargrafodaLista"/>
        <w:numPr>
          <w:ilvl w:val="0"/>
          <w:numId w:val="4"/>
        </w:numPr>
      </w:pPr>
      <w:proofErr w:type="spellStart"/>
      <w:r w:rsidRPr="003F0DDC">
        <w:t>Ei</w:t>
      </w:r>
      <w:proofErr w:type="spellEnd"/>
      <w:r w:rsidRPr="003F0DDC">
        <w:t xml:space="preserve">: </w:t>
      </w:r>
      <w:r w:rsidR="006E3E0E" w:rsidRPr="003F0DDC">
        <w:t xml:space="preserve">Refere-se ao </w:t>
      </w:r>
      <w:proofErr w:type="spellStart"/>
      <w:r w:rsidR="006E3E0E" w:rsidRPr="003F0DDC">
        <w:t>IPA-Origem-OG-DI-Produtos</w:t>
      </w:r>
      <w:proofErr w:type="spellEnd"/>
      <w:r w:rsidR="006E3E0E" w:rsidRPr="003F0DDC">
        <w:t xml:space="preserve"> </w:t>
      </w:r>
      <w:proofErr w:type="spellStart"/>
      <w:proofErr w:type="gramStart"/>
      <w:r w:rsidR="006E3E0E" w:rsidRPr="003F0DDC">
        <w:t>Industrias</w:t>
      </w:r>
      <w:proofErr w:type="gramEnd"/>
      <w:r w:rsidR="006E3E0E" w:rsidRPr="003F0DDC">
        <w:t>-Ind</w:t>
      </w:r>
      <w:proofErr w:type="spellEnd"/>
      <w:r w:rsidR="006E3E0E" w:rsidRPr="003F0DDC">
        <w:t>. de Transformação-</w:t>
      </w:r>
      <w:r w:rsidR="00F550C8" w:rsidRPr="003F0DDC">
        <w:t>Metalúrgica</w:t>
      </w:r>
      <w:r w:rsidR="006E3E0E" w:rsidRPr="003F0DDC">
        <w:t xml:space="preserve"> Básica, cód. AO 1420787, correspondente ao mês de aniversário da proposta.</w:t>
      </w:r>
    </w:p>
    <w:p w:rsidR="000B215F" w:rsidRPr="003F0DDC" w:rsidRDefault="000B215F" w:rsidP="00C3224F">
      <w:pPr>
        <w:pStyle w:val="PargrafodaLista"/>
        <w:numPr>
          <w:ilvl w:val="0"/>
          <w:numId w:val="4"/>
        </w:numPr>
      </w:pPr>
      <w:proofErr w:type="spellStart"/>
      <w:r w:rsidRPr="003F0DDC">
        <w:t>Eo</w:t>
      </w:r>
      <w:proofErr w:type="spellEnd"/>
      <w:r w:rsidRPr="003F0DDC">
        <w:t xml:space="preserve">: </w:t>
      </w:r>
      <w:r w:rsidR="00F550C8" w:rsidRPr="003F0DDC">
        <w:t xml:space="preserve">Refere-se ao </w:t>
      </w:r>
      <w:proofErr w:type="spellStart"/>
      <w:r w:rsidR="00F550C8" w:rsidRPr="003F0DDC">
        <w:t>IPA-Origem-OG-DI-Produtos</w:t>
      </w:r>
      <w:proofErr w:type="spellEnd"/>
      <w:r w:rsidR="00F550C8" w:rsidRPr="003F0DDC">
        <w:t xml:space="preserve"> </w:t>
      </w:r>
      <w:proofErr w:type="spellStart"/>
      <w:proofErr w:type="gramStart"/>
      <w:r w:rsidR="00F550C8" w:rsidRPr="003F0DDC">
        <w:t>Industrias</w:t>
      </w:r>
      <w:proofErr w:type="gramEnd"/>
      <w:r w:rsidR="00F550C8" w:rsidRPr="003F0DDC">
        <w:t>-Ind</w:t>
      </w:r>
      <w:proofErr w:type="spellEnd"/>
      <w:r w:rsidR="00F550C8" w:rsidRPr="003F0DDC">
        <w:t>. de Transformação-Metalúrgica Básica, cód. AO 1420787</w:t>
      </w:r>
      <w:r w:rsidRPr="003F0DDC">
        <w:t>, correspondente a data de apresentação da proposta.</w:t>
      </w:r>
    </w:p>
    <w:p w:rsidR="008D1CEB" w:rsidRPr="003F0DDC" w:rsidRDefault="008D1CEB" w:rsidP="008D1CEB">
      <w:pPr>
        <w:pStyle w:val="PargrafodaLista"/>
        <w:numPr>
          <w:ilvl w:val="0"/>
          <w:numId w:val="0"/>
        </w:numPr>
        <w:ind w:left="720"/>
      </w:pPr>
    </w:p>
    <w:p w:rsidR="000B215F" w:rsidRPr="003F0DDC" w:rsidRDefault="000B215F" w:rsidP="000B215F">
      <w:pPr>
        <w:pStyle w:val="PargrafodaLista"/>
        <w:numPr>
          <w:ilvl w:val="0"/>
          <w:numId w:val="4"/>
        </w:numPr>
      </w:pPr>
      <w:proofErr w:type="spellStart"/>
      <w:r w:rsidRPr="003F0DDC">
        <w:t>Fi</w:t>
      </w:r>
      <w:proofErr w:type="spellEnd"/>
      <w:r w:rsidRPr="003F0DDC">
        <w:t xml:space="preserve">: Refere-se ao </w:t>
      </w:r>
      <w:proofErr w:type="spellStart"/>
      <w:r w:rsidR="00295999" w:rsidRPr="003F0DDC">
        <w:t>IPA-Origem-OG-DI-</w:t>
      </w:r>
      <w:proofErr w:type="gramStart"/>
      <w:r w:rsidR="00295999" w:rsidRPr="003F0DDC">
        <w:t>Prod</w:t>
      </w:r>
      <w:proofErr w:type="spellEnd"/>
      <w:r w:rsidR="00295999" w:rsidRPr="003F0DDC">
        <w:t>.</w:t>
      </w:r>
      <w:proofErr w:type="gramEnd"/>
      <w:r w:rsidR="00295999" w:rsidRPr="003F0DDC">
        <w:t>Ind. Transformação</w:t>
      </w:r>
      <w:r w:rsidR="008C2664" w:rsidRPr="003F0DDC">
        <w:t xml:space="preserve"> -</w:t>
      </w:r>
      <w:proofErr w:type="spellStart"/>
      <w:r w:rsidR="008C2664" w:rsidRPr="003F0DDC">
        <w:t>Máq</w:t>
      </w:r>
      <w:proofErr w:type="spellEnd"/>
      <w:r w:rsidR="008C2664" w:rsidRPr="003F0DDC">
        <w:t>. Aparelhos e Materiais Elétricos</w:t>
      </w:r>
      <w:r w:rsidRPr="003F0DDC">
        <w:t>, cód. AO 1</w:t>
      </w:r>
      <w:r w:rsidR="008C2664" w:rsidRPr="003F0DDC">
        <w:t>420855</w:t>
      </w:r>
      <w:r w:rsidRPr="003F0DDC">
        <w:t>, correspondente ao mês de aniversário da proposta.</w:t>
      </w:r>
    </w:p>
    <w:p w:rsidR="000B215F" w:rsidRDefault="000B215F" w:rsidP="000B215F">
      <w:pPr>
        <w:pStyle w:val="PargrafodaLista"/>
        <w:numPr>
          <w:ilvl w:val="0"/>
          <w:numId w:val="4"/>
        </w:numPr>
      </w:pPr>
      <w:r w:rsidRPr="003F0DDC">
        <w:t xml:space="preserve">Fo: Refere-se </w:t>
      </w:r>
      <w:r w:rsidR="008C2664" w:rsidRPr="003F0DDC">
        <w:t xml:space="preserve">ao </w:t>
      </w:r>
      <w:proofErr w:type="spellStart"/>
      <w:r w:rsidR="00295999" w:rsidRPr="003F0DDC">
        <w:t>IPA-Origem-OG-DI-</w:t>
      </w:r>
      <w:proofErr w:type="gramStart"/>
      <w:r w:rsidR="00295999" w:rsidRPr="003F0DDC">
        <w:t>Prod</w:t>
      </w:r>
      <w:proofErr w:type="spellEnd"/>
      <w:r w:rsidR="00295999" w:rsidRPr="003F0DDC">
        <w:t>.</w:t>
      </w:r>
      <w:proofErr w:type="gramEnd"/>
      <w:r w:rsidR="00295999" w:rsidRPr="003F0DDC">
        <w:t>Ind. Transformação</w:t>
      </w:r>
      <w:r w:rsidR="008C2664" w:rsidRPr="003F0DDC">
        <w:t xml:space="preserve"> -</w:t>
      </w:r>
      <w:proofErr w:type="spellStart"/>
      <w:r w:rsidR="008C2664" w:rsidRPr="003F0DDC">
        <w:t>Máq</w:t>
      </w:r>
      <w:proofErr w:type="spellEnd"/>
      <w:r w:rsidR="008C2664" w:rsidRPr="003F0DDC">
        <w:t>. Aparelhos e Materiais Elétricos, cód. AO 1420855</w:t>
      </w:r>
      <w:r w:rsidRPr="003F0DDC">
        <w:t>, correspondente à data de apresentação da proposta.</w:t>
      </w:r>
    </w:p>
    <w:p w:rsidR="00514B1A" w:rsidRDefault="00514B1A" w:rsidP="00514B1A">
      <w:pPr>
        <w:pStyle w:val="PargrafodaLista"/>
        <w:numPr>
          <w:ilvl w:val="0"/>
          <w:numId w:val="0"/>
        </w:numPr>
        <w:ind w:left="720"/>
      </w:pPr>
    </w:p>
    <w:p w:rsidR="00514B1A" w:rsidRPr="00C525C4" w:rsidRDefault="00514B1A" w:rsidP="00514B1A">
      <w:pPr>
        <w:pStyle w:val="PargrafodaLista"/>
        <w:numPr>
          <w:ilvl w:val="0"/>
          <w:numId w:val="4"/>
        </w:numPr>
        <w:rPr>
          <w:szCs w:val="20"/>
        </w:rPr>
      </w:pPr>
      <w:proofErr w:type="spellStart"/>
      <w:proofErr w:type="gramStart"/>
      <w:r w:rsidRPr="00C525C4">
        <w:rPr>
          <w:szCs w:val="20"/>
        </w:rPr>
        <w:t>CAi</w:t>
      </w:r>
      <w:proofErr w:type="spellEnd"/>
      <w:proofErr w:type="gramEnd"/>
      <w:r w:rsidRPr="00C525C4">
        <w:rPr>
          <w:szCs w:val="20"/>
        </w:rPr>
        <w:t xml:space="preserve">: Refere-se à coluna </w:t>
      </w:r>
      <w:r w:rsidR="00360B39">
        <w:rPr>
          <w:szCs w:val="20"/>
        </w:rPr>
        <w:t>40</w:t>
      </w:r>
      <w:r w:rsidRPr="00C525C4">
        <w:rPr>
          <w:szCs w:val="20"/>
        </w:rPr>
        <w:t xml:space="preserve"> da FGV </w:t>
      </w:r>
      <w:r w:rsidR="00360B39">
        <w:rPr>
          <w:szCs w:val="20"/>
        </w:rPr>
        <w:t>–Estruturas de Concreto Armado</w:t>
      </w:r>
      <w:r w:rsidRPr="00C525C4">
        <w:rPr>
          <w:szCs w:val="20"/>
        </w:rPr>
        <w:t xml:space="preserve">, cód. AO </w:t>
      </w:r>
      <w:r w:rsidR="00360B39">
        <w:t>159665</w:t>
      </w:r>
      <w:r w:rsidRPr="00C525C4">
        <w:rPr>
          <w:szCs w:val="20"/>
        </w:rPr>
        <w:t>, correspondente ao mês de aniversário da proposta.</w:t>
      </w:r>
    </w:p>
    <w:p w:rsidR="00514B1A" w:rsidRPr="00C525C4" w:rsidRDefault="00514B1A" w:rsidP="00514B1A">
      <w:pPr>
        <w:pStyle w:val="PargrafodaLista"/>
        <w:numPr>
          <w:ilvl w:val="0"/>
          <w:numId w:val="4"/>
        </w:numPr>
        <w:rPr>
          <w:szCs w:val="20"/>
        </w:rPr>
      </w:pPr>
      <w:proofErr w:type="spellStart"/>
      <w:proofErr w:type="gramStart"/>
      <w:r w:rsidRPr="00C525C4">
        <w:rPr>
          <w:szCs w:val="20"/>
        </w:rPr>
        <w:t>CAo</w:t>
      </w:r>
      <w:proofErr w:type="spellEnd"/>
      <w:proofErr w:type="gramEnd"/>
      <w:r w:rsidRPr="00C525C4">
        <w:rPr>
          <w:szCs w:val="20"/>
        </w:rPr>
        <w:t xml:space="preserve">: Refere-se à coluna </w:t>
      </w:r>
      <w:r w:rsidR="00360B39">
        <w:rPr>
          <w:szCs w:val="20"/>
        </w:rPr>
        <w:t>40</w:t>
      </w:r>
      <w:r w:rsidR="00360B39" w:rsidRPr="00C525C4">
        <w:rPr>
          <w:szCs w:val="20"/>
        </w:rPr>
        <w:t xml:space="preserve"> da FGV </w:t>
      </w:r>
      <w:r w:rsidR="00360B39">
        <w:rPr>
          <w:szCs w:val="20"/>
        </w:rPr>
        <w:t>–Estruturas de Concreto Armado</w:t>
      </w:r>
      <w:r w:rsidR="00360B39" w:rsidRPr="00C525C4">
        <w:rPr>
          <w:szCs w:val="20"/>
        </w:rPr>
        <w:t xml:space="preserve">, cód. AO </w:t>
      </w:r>
      <w:r w:rsidR="00360B39">
        <w:t>159665</w:t>
      </w:r>
      <w:r w:rsidRPr="00C525C4">
        <w:rPr>
          <w:szCs w:val="20"/>
        </w:rPr>
        <w:t>, correspondente à data de apresentação da proposta.</w:t>
      </w:r>
    </w:p>
    <w:p w:rsidR="000B215F" w:rsidRPr="003F0DDC" w:rsidRDefault="000B215F" w:rsidP="00830119">
      <w:pPr>
        <w:rPr>
          <w:rFonts w:eastAsiaTheme="minorEastAsia"/>
          <w:b/>
          <w:szCs w:val="20"/>
        </w:rPr>
      </w:pPr>
    </w:p>
    <w:p w:rsidR="004C061E" w:rsidRPr="003F0DDC" w:rsidRDefault="004C061E" w:rsidP="00E70FA8">
      <w:pPr>
        <w:ind w:left="1134" w:hanging="425"/>
        <w:rPr>
          <w:szCs w:val="20"/>
        </w:rPr>
      </w:pPr>
    </w:p>
    <w:p w:rsidR="00830119" w:rsidRPr="003F0DDC" w:rsidRDefault="00830119" w:rsidP="009017F5">
      <w:pPr>
        <w:pStyle w:val="Ttulo2"/>
        <w:numPr>
          <w:ilvl w:val="1"/>
          <w:numId w:val="24"/>
        </w:numPr>
        <w:ind w:left="426" w:hanging="425"/>
      </w:pPr>
      <w:r w:rsidRPr="003F0DDC">
        <w:t>Caso haja mudança de data base nestes índices, deve-se primeiro calcular o valor do índice na data base original utilizando-se a seguinte fórmula:</w:t>
      </w:r>
    </w:p>
    <w:p w:rsidR="00830119" w:rsidRPr="003F0DDC" w:rsidRDefault="00830119" w:rsidP="00830119">
      <w:pPr>
        <w:ind w:left="1134" w:hanging="425"/>
        <w:rPr>
          <w:szCs w:val="20"/>
        </w:rPr>
      </w:pPr>
    </w:p>
    <w:p w:rsidR="00830119" w:rsidRPr="003F0DDC" w:rsidRDefault="00B456DC" w:rsidP="00830119">
      <w:pPr>
        <w:ind w:left="1134" w:hanging="425"/>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rsidR="00830119" w:rsidRPr="003F0DDC" w:rsidRDefault="00830119" w:rsidP="00830119">
      <w:pPr>
        <w:rPr>
          <w:szCs w:val="20"/>
        </w:rPr>
      </w:pPr>
      <w:r w:rsidRPr="003F0DDC">
        <w:rPr>
          <w:szCs w:val="20"/>
        </w:rPr>
        <w:t>Sendo:</w:t>
      </w:r>
    </w:p>
    <w:p w:rsidR="00830119" w:rsidRPr="003F0DDC" w:rsidRDefault="00B456DC"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830119" w:rsidRPr="003F0DDC">
        <w:t xml:space="preserve"> = Valor desejado. Índice do mês de reajuste com data base original.</w:t>
      </w:r>
    </w:p>
    <w:p w:rsidR="00830119" w:rsidRPr="003F0DDC" w:rsidRDefault="00B456DC"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830119" w:rsidRPr="003F0DDC">
        <w:t xml:space="preserve"> = Índice do mês de reajuste com a nova data base.</w:t>
      </w:r>
    </w:p>
    <w:p w:rsidR="00830119" w:rsidRPr="003F0DDC" w:rsidRDefault="00B456DC"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830119" w:rsidRPr="003F0DDC">
        <w:t xml:space="preserve"> = Índice do mês em que mudou a tabela, na data base original.</w:t>
      </w:r>
    </w:p>
    <w:p w:rsidR="00830119" w:rsidRPr="003F0DDC" w:rsidRDefault="00830119" w:rsidP="00830119">
      <w:pPr>
        <w:rPr>
          <w:szCs w:val="20"/>
        </w:rPr>
      </w:pPr>
    </w:p>
    <w:p w:rsidR="00411906" w:rsidRPr="003F0DDC" w:rsidRDefault="00411906" w:rsidP="00411906">
      <w:pPr>
        <w:ind w:left="1134" w:hanging="425"/>
        <w:rPr>
          <w:szCs w:val="20"/>
        </w:rPr>
      </w:pPr>
    </w:p>
    <w:p w:rsidR="00411906" w:rsidRPr="003F0DDC" w:rsidRDefault="00411906" w:rsidP="00FD708C">
      <w:r w:rsidRPr="003F0DDC">
        <w:t>Os valores a serem considerados,</w:t>
      </w:r>
      <w:r w:rsidR="00D07DD0">
        <w:t xml:space="preserve"> referentes aos fatores N1, N2,</w:t>
      </w:r>
      <w:r w:rsidRPr="003F0DDC">
        <w:t xml:space="preserve"> N3</w:t>
      </w:r>
      <w:r w:rsidR="00D07DD0">
        <w:t xml:space="preserve"> e N4</w:t>
      </w:r>
      <w:r w:rsidRPr="003F0DDC">
        <w:t xml:space="preserve"> são apresentados abaixo:</w:t>
      </w:r>
    </w:p>
    <w:p w:rsidR="00C270C3" w:rsidRPr="003F0DDC" w:rsidRDefault="00C270C3" w:rsidP="00C270C3"/>
    <w:bookmarkStart w:id="26" w:name="_MON_1692690351"/>
    <w:bookmarkEnd w:id="26"/>
    <w:p w:rsidR="00C270C3" w:rsidRPr="003F0DDC" w:rsidRDefault="00F9189E" w:rsidP="00C270C3">
      <w:r>
        <w:object w:dxaOrig="5660" w:dyaOrig="8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75pt;height:44.25pt" o:ole="">
            <v:imagedata r:id="rId11" o:title=""/>
          </v:shape>
          <o:OLEObject Type="Embed" ProgID="Excel.Sheet.12" ShapeID="_x0000_i1025" DrawAspect="Content" ObjectID="_1695714534" r:id="rId12"/>
        </w:object>
      </w:r>
    </w:p>
    <w:p w:rsidR="00C270C3" w:rsidRPr="003F0DDC" w:rsidRDefault="00C270C3" w:rsidP="00C270C3"/>
    <w:p w:rsidR="00251AE7" w:rsidRPr="00C270C3" w:rsidRDefault="00251AE7" w:rsidP="00C270C3"/>
    <w:p w:rsidR="006E00B4" w:rsidRPr="006E00B4" w:rsidRDefault="00F22DB1" w:rsidP="009017F5">
      <w:pPr>
        <w:pStyle w:val="Ttulo1"/>
        <w:numPr>
          <w:ilvl w:val="0"/>
          <w:numId w:val="24"/>
        </w:numPr>
      </w:pPr>
      <w:bookmarkStart w:id="27" w:name="_Toc18400281"/>
      <w:r>
        <w:t xml:space="preserve">ACOMPAMHAMENTO E </w:t>
      </w:r>
      <w:r w:rsidR="003A2D9B" w:rsidRPr="006E00B4">
        <w:t>FISCALIZAÇÃO</w:t>
      </w:r>
      <w:bookmarkEnd w:id="27"/>
    </w:p>
    <w:p w:rsidR="006E00B4" w:rsidRDefault="006E00B4" w:rsidP="006E00B4">
      <w:pPr>
        <w:rPr>
          <w:highlight w:val="lightGray"/>
        </w:rPr>
      </w:pPr>
    </w:p>
    <w:p w:rsidR="00E44369" w:rsidRDefault="00E44369" w:rsidP="005952E6">
      <w:r>
        <w:rPr>
          <w:b/>
        </w:rPr>
        <w:t xml:space="preserve">14.1. </w:t>
      </w:r>
      <w:r w:rsidR="005952E6">
        <w:tab/>
        <w:t>A fiscalização dos serviços será feita por empregado formalmente designado, a quem compete verificar se a CONTRATADA está executando os trabalhos, observando o contrato e os documentos que o integram e competências definidas no Manual de Contrato.</w:t>
      </w:r>
    </w:p>
    <w:p w:rsidR="00E44369" w:rsidRDefault="00E44369" w:rsidP="005952E6"/>
    <w:p w:rsidR="005952E6" w:rsidRDefault="00E44369" w:rsidP="005952E6">
      <w:r w:rsidRPr="00E44369">
        <w:rPr>
          <w:b/>
        </w:rPr>
        <w:t>14.2.</w:t>
      </w:r>
      <w:r>
        <w:t xml:space="preserve"> </w:t>
      </w:r>
      <w:r w:rsidR="005952E6">
        <w:t>Fica assegurado aos técnicos da C</w:t>
      </w:r>
      <w:r w:rsidR="00EC7D8F">
        <w:t>ODEVASF,</w:t>
      </w:r>
      <w:r w:rsidR="005952E6">
        <w:t xml:space="preserve">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rsidR="005952E6" w:rsidRDefault="005952E6" w:rsidP="005952E6"/>
    <w:p w:rsidR="005952E6" w:rsidRDefault="00E44369" w:rsidP="005952E6">
      <w:r>
        <w:rPr>
          <w:b/>
        </w:rPr>
        <w:t>14</w:t>
      </w:r>
      <w:r w:rsidR="005952E6" w:rsidRPr="00CD366B">
        <w:rPr>
          <w:b/>
        </w:rPr>
        <w:t>.3.</w:t>
      </w:r>
      <w:r w:rsidR="005952E6">
        <w:tab/>
        <w:t xml:space="preserve">Participar da Reunião de Partida entre as partes envolvidas, </w:t>
      </w:r>
      <w:r w:rsidR="00EC7D8F">
        <w:t>CODEVASF</w:t>
      </w:r>
      <w:r w:rsidR="005952E6">
        <w:t xml:space="preserve"> e CONTRATADA, onde serão definidos todos os detalhes do Plano de Trabalho e dar-se-á o </w:t>
      </w:r>
      <w:r w:rsidR="005952E6" w:rsidRPr="005B4FAD">
        <w:rPr>
          <w:i/>
        </w:rPr>
        <w:t xml:space="preserve">“start </w:t>
      </w:r>
      <w:proofErr w:type="spellStart"/>
      <w:r w:rsidR="005952E6" w:rsidRPr="005B4FAD">
        <w:rPr>
          <w:i/>
        </w:rPr>
        <w:t>up</w:t>
      </w:r>
      <w:proofErr w:type="spellEnd"/>
      <w:r w:rsidR="005952E6" w:rsidRPr="005B4FAD">
        <w:rPr>
          <w:i/>
        </w:rPr>
        <w:t>”</w:t>
      </w:r>
      <w:r w:rsidR="005952E6">
        <w:t xml:space="preserve"> da execução d</w:t>
      </w:r>
      <w:r w:rsidR="008830C2">
        <w:t>o</w:t>
      </w:r>
      <w:r w:rsidR="005952E6">
        <w:t xml:space="preserve">s </w:t>
      </w:r>
      <w:r w:rsidR="008830C2">
        <w:t>serviço</w:t>
      </w:r>
      <w:r w:rsidR="005952E6">
        <w:t>s.</w:t>
      </w:r>
    </w:p>
    <w:p w:rsidR="005952E6" w:rsidRDefault="005952E6" w:rsidP="005952E6"/>
    <w:p w:rsidR="005952E6" w:rsidRDefault="00E44369" w:rsidP="005952E6">
      <w:r>
        <w:rPr>
          <w:b/>
        </w:rPr>
        <w:t>14</w:t>
      </w:r>
      <w:r w:rsidR="005952E6" w:rsidRPr="00CD366B">
        <w:rPr>
          <w:b/>
        </w:rPr>
        <w:t>.4.</w:t>
      </w:r>
      <w:r w:rsidR="005952E6">
        <w:tab/>
        <w:t xml:space="preserve">Acompanhar a execução dos serviços objeto do contrato, “in loco”, como representante da </w:t>
      </w:r>
      <w:r w:rsidR="00EC7D8F">
        <w:t>CODEVASF</w:t>
      </w:r>
      <w:r w:rsidR="005952E6">
        <w:t>, de forma a garantir o cumprimento do que foi pactuado, observando para que não haja subcontratação de serviços.</w:t>
      </w:r>
    </w:p>
    <w:p w:rsidR="005952E6" w:rsidRDefault="005952E6" w:rsidP="005952E6"/>
    <w:p w:rsidR="005952E6" w:rsidRDefault="00E44369" w:rsidP="005952E6">
      <w:r>
        <w:rPr>
          <w:b/>
        </w:rPr>
        <w:t>14</w:t>
      </w:r>
      <w:r w:rsidR="005952E6" w:rsidRPr="00CD366B">
        <w:rPr>
          <w:b/>
        </w:rPr>
        <w:t>.5.</w:t>
      </w:r>
      <w:r w:rsidR="005952E6">
        <w:tab/>
        <w:t>Esclarecer dúvidas ou fornecer informações solicitadas pelo preposto/representante da CONTRATADA ou, quando não estiverem sob sua alçada, encaminhá-las a quem compete.</w:t>
      </w:r>
    </w:p>
    <w:p w:rsidR="005952E6" w:rsidRDefault="005952E6" w:rsidP="005952E6"/>
    <w:p w:rsidR="005952E6" w:rsidRDefault="005952E6" w:rsidP="005952E6">
      <w:r w:rsidRPr="00CD366B">
        <w:rPr>
          <w:b/>
        </w:rPr>
        <w:t>1</w:t>
      </w:r>
      <w:r w:rsidR="00E44369">
        <w:rPr>
          <w:b/>
        </w:rPr>
        <w:t>4</w:t>
      </w:r>
      <w:r w:rsidRPr="00CD366B">
        <w:rPr>
          <w:b/>
        </w:rPr>
        <w:t>.6.</w:t>
      </w:r>
      <w:r>
        <w:tab/>
        <w:t>Checar se a CONTRATADA disponibilizou as instalações, equipamentos e recursos humanos previstos para a execução dos serviços.</w:t>
      </w:r>
    </w:p>
    <w:p w:rsidR="005952E6" w:rsidRDefault="005952E6" w:rsidP="005952E6"/>
    <w:p w:rsidR="005952E6" w:rsidRDefault="005952E6" w:rsidP="005952E6">
      <w:r w:rsidRPr="00CD366B">
        <w:rPr>
          <w:b/>
        </w:rPr>
        <w:t>1</w:t>
      </w:r>
      <w:r w:rsidR="00E44369">
        <w:rPr>
          <w:b/>
        </w:rPr>
        <w:t>4</w:t>
      </w:r>
      <w:r w:rsidRPr="00CD366B">
        <w:rPr>
          <w:b/>
        </w:rPr>
        <w:t>.7.</w:t>
      </w:r>
      <w:r>
        <w:tab/>
        <w:t xml:space="preserve">Acompanhar a elaboração do “as </w:t>
      </w:r>
      <w:proofErr w:type="spellStart"/>
      <w:r>
        <w:t>built</w:t>
      </w:r>
      <w:proofErr w:type="spellEnd"/>
      <w:r>
        <w:t>” (como construído) ao longo da execução dos serviços</w:t>
      </w:r>
      <w:r w:rsidR="00706A62">
        <w:t>, quando couber</w:t>
      </w:r>
      <w:r>
        <w:t>.</w:t>
      </w:r>
    </w:p>
    <w:p w:rsidR="005952E6" w:rsidRDefault="005952E6" w:rsidP="005952E6"/>
    <w:p w:rsidR="005952E6" w:rsidRDefault="003E7D13" w:rsidP="005952E6">
      <w:r>
        <w:rPr>
          <w:b/>
        </w:rPr>
        <w:t>14</w:t>
      </w:r>
      <w:r w:rsidR="005952E6" w:rsidRPr="00CD366B">
        <w:rPr>
          <w:b/>
        </w:rPr>
        <w:t>.8.</w:t>
      </w:r>
      <w:r w:rsidR="005952E6">
        <w:tab/>
        <w:t xml:space="preserve">Tratar diretamente com a equipe de apoio à fiscalização contratada pela </w:t>
      </w:r>
      <w:r w:rsidR="00EC7D8F">
        <w:t>CODEVASF</w:t>
      </w:r>
      <w:r w:rsidR="005952E6">
        <w:t>, quando houver, exigindo atuação em conformidade com o instrumento do contrato, cobrando a presença de técnicos no local da prestação dos serviços, emissão de relatórios, boletins ou outros documentos que se façam necessários ao fiel cumprimento do objeto.</w:t>
      </w:r>
    </w:p>
    <w:p w:rsidR="005952E6" w:rsidRDefault="005952E6" w:rsidP="005952E6"/>
    <w:p w:rsidR="005952E6" w:rsidRDefault="005952E6" w:rsidP="005952E6">
      <w:r w:rsidRPr="00CD366B">
        <w:rPr>
          <w:b/>
        </w:rPr>
        <w:t>1</w:t>
      </w:r>
      <w:r w:rsidR="003E7D13">
        <w:rPr>
          <w:b/>
        </w:rPr>
        <w:t>4</w:t>
      </w:r>
      <w:r w:rsidRPr="00CD366B">
        <w:rPr>
          <w:b/>
        </w:rPr>
        <w:t>.9.</w:t>
      </w:r>
      <w:r>
        <w:tab/>
        <w:t>Solicitar da CONTRATADA a relação de empregados contratados e terceirizados, com as seguintes informações: nome completo, cargo ou função, valor do salário, número do RG e do CPF.</w:t>
      </w:r>
    </w:p>
    <w:p w:rsidR="005952E6" w:rsidRDefault="005952E6" w:rsidP="005952E6"/>
    <w:p w:rsidR="005952E6" w:rsidRDefault="003E7D13" w:rsidP="005952E6">
      <w:r>
        <w:rPr>
          <w:b/>
        </w:rPr>
        <w:t>14</w:t>
      </w:r>
      <w:r w:rsidR="005952E6" w:rsidRPr="00CD366B">
        <w:rPr>
          <w:b/>
        </w:rPr>
        <w:t>.10.</w:t>
      </w:r>
      <w:r w:rsidR="005952E6">
        <w:tab/>
        <w:t>Informar ao titular da unidade orgânica demandante e ao gestor de contrato sobre o andamento dos serviços, por meio do Relatório de Acompanhamento Físico – RAF.</w:t>
      </w:r>
    </w:p>
    <w:p w:rsidR="005952E6" w:rsidRDefault="005952E6" w:rsidP="005952E6"/>
    <w:p w:rsidR="005952E6" w:rsidRDefault="003E7D13" w:rsidP="005952E6">
      <w:r>
        <w:rPr>
          <w:b/>
        </w:rPr>
        <w:t>14</w:t>
      </w:r>
      <w:r w:rsidR="005952E6" w:rsidRPr="00CD366B">
        <w:rPr>
          <w:b/>
        </w:rPr>
        <w:t>.1</w:t>
      </w:r>
      <w:r w:rsidR="00502F99">
        <w:rPr>
          <w:b/>
        </w:rPr>
        <w:t>1</w:t>
      </w:r>
      <w:r w:rsidR="005952E6" w:rsidRPr="00CD366B">
        <w:rPr>
          <w:b/>
        </w:rPr>
        <w:t>.</w:t>
      </w:r>
      <w:r w:rsidR="005952E6">
        <w:tab/>
        <w:t xml:space="preserve">Determinar a reparação, correção, remoção, reconstrução ou substituição, </w:t>
      </w:r>
      <w:proofErr w:type="gramStart"/>
      <w:r w:rsidR="005952E6">
        <w:t>às expensas da</w:t>
      </w:r>
      <w:proofErr w:type="gramEnd"/>
      <w:r w:rsidR="005952E6">
        <w:t xml:space="preserve"> CONTRATADA, no total ou em parte, dos serviços nos quais forem detectados vícios, defeitos ou incorreções resultantes da execução ou dos materiais empregados.</w:t>
      </w:r>
    </w:p>
    <w:p w:rsidR="005952E6" w:rsidRDefault="005952E6" w:rsidP="005952E6"/>
    <w:p w:rsidR="005952E6" w:rsidRDefault="003E7D13" w:rsidP="005952E6">
      <w:r>
        <w:rPr>
          <w:b/>
        </w:rPr>
        <w:t>14</w:t>
      </w:r>
      <w:r w:rsidR="005952E6" w:rsidRPr="00CD366B">
        <w:rPr>
          <w:b/>
        </w:rPr>
        <w:t>.1</w:t>
      </w:r>
      <w:r w:rsidR="00502F99">
        <w:rPr>
          <w:b/>
        </w:rPr>
        <w:t>2</w:t>
      </w:r>
      <w:r w:rsidR="005952E6" w:rsidRPr="00CD366B">
        <w:rPr>
          <w:b/>
        </w:rPr>
        <w:t>.</w:t>
      </w:r>
      <w:r w:rsidR="005952E6">
        <w:tab/>
        <w:t>Acompanhar o cumprimento, pela CONTRATADA, do cronograma físico-financeiro pactuado, encaminhando ao gestor de contrato, quando houver, ou ao titular da unidade orgânica demandante, eventuais pedidos de modificações, substituições de materiais e equipamentos, solicitados pela CONTRATADA.</w:t>
      </w:r>
    </w:p>
    <w:p w:rsidR="005952E6" w:rsidRDefault="005952E6" w:rsidP="005952E6"/>
    <w:p w:rsidR="005952E6" w:rsidRDefault="003E7D13" w:rsidP="005952E6">
      <w:r>
        <w:rPr>
          <w:b/>
        </w:rPr>
        <w:t>14</w:t>
      </w:r>
      <w:r w:rsidR="005952E6" w:rsidRPr="00CD366B">
        <w:rPr>
          <w:b/>
        </w:rPr>
        <w:t>.1</w:t>
      </w:r>
      <w:r w:rsidR="00502F99">
        <w:rPr>
          <w:b/>
        </w:rPr>
        <w:t>3</w:t>
      </w:r>
      <w:r w:rsidR="005952E6" w:rsidRPr="00CD366B">
        <w:rPr>
          <w:b/>
        </w:rPr>
        <w:t>.</w:t>
      </w:r>
      <w:r w:rsidR="005952E6">
        <w:tab/>
        <w:t>Estabelecer prazo para correção de eventuais pendências na execução do contrato e informar ao gestor de contrato, quando houver, ou ao titular da unidade orgânica, ocorrências que possam gerar dificuldades à conclusão d</w:t>
      </w:r>
      <w:r w:rsidR="008830C2">
        <w:t>os serviços</w:t>
      </w:r>
      <w:r w:rsidR="005952E6">
        <w:t xml:space="preserve"> ou em relação a terceiros, cientificando-a da possibilidade de não conclusão do objeto na data aprazada, com as devidas justificativas.</w:t>
      </w:r>
    </w:p>
    <w:p w:rsidR="005952E6" w:rsidRDefault="005952E6" w:rsidP="005952E6"/>
    <w:p w:rsidR="005952E6" w:rsidRDefault="003E7D13" w:rsidP="005952E6">
      <w:r>
        <w:rPr>
          <w:b/>
        </w:rPr>
        <w:t>14</w:t>
      </w:r>
      <w:r w:rsidR="005952E6" w:rsidRPr="00CD366B">
        <w:rPr>
          <w:b/>
        </w:rPr>
        <w:t>.1</w:t>
      </w:r>
      <w:r w:rsidR="00502F99">
        <w:rPr>
          <w:b/>
        </w:rPr>
        <w:t>4</w:t>
      </w:r>
      <w:r w:rsidR="005952E6" w:rsidRPr="00CD366B">
        <w:rPr>
          <w:b/>
        </w:rPr>
        <w:t>.</w:t>
      </w:r>
      <w:r w:rsidR="005952E6">
        <w:tab/>
        <w:t>Rejeitar, no todo ou em parte, serviço ou fornecimento executado em desacordo com o instrumento contratual.</w:t>
      </w:r>
    </w:p>
    <w:p w:rsidR="005952E6" w:rsidRDefault="005952E6" w:rsidP="005952E6"/>
    <w:p w:rsidR="005952E6" w:rsidRDefault="003E7D13" w:rsidP="005952E6">
      <w:r>
        <w:rPr>
          <w:b/>
        </w:rPr>
        <w:t>14</w:t>
      </w:r>
      <w:r w:rsidR="005952E6" w:rsidRPr="00CD366B">
        <w:rPr>
          <w:b/>
        </w:rPr>
        <w:t>.1</w:t>
      </w:r>
      <w:r w:rsidR="00502F99">
        <w:rPr>
          <w:b/>
        </w:rPr>
        <w:t>5</w:t>
      </w:r>
      <w:r w:rsidR="005952E6" w:rsidRPr="00CD366B">
        <w:rPr>
          <w:b/>
        </w:rPr>
        <w:t>.</w:t>
      </w:r>
      <w:r w:rsidR="005952E6">
        <w:tab/>
        <w:t>Notificar a CONTRATADA sobre quaisquer ocorrências encontradas em desconformidade com as cláusulas contratuais, sempre por escrito, com prova de recebimento da notificação.</w:t>
      </w:r>
    </w:p>
    <w:p w:rsidR="005952E6" w:rsidRDefault="005952E6" w:rsidP="005952E6"/>
    <w:p w:rsidR="005952E6" w:rsidRDefault="003E7D13" w:rsidP="005952E6">
      <w:r>
        <w:rPr>
          <w:b/>
        </w:rPr>
        <w:t>14</w:t>
      </w:r>
      <w:r w:rsidR="005952E6" w:rsidRPr="00CD366B">
        <w:rPr>
          <w:b/>
        </w:rPr>
        <w:t>.1</w:t>
      </w:r>
      <w:r w:rsidR="00502F99">
        <w:rPr>
          <w:b/>
        </w:rPr>
        <w:t>6</w:t>
      </w:r>
      <w:r w:rsidR="005952E6" w:rsidRPr="00CD366B">
        <w:rPr>
          <w:b/>
        </w:rPr>
        <w:t>.</w:t>
      </w:r>
      <w:r w:rsidR="005952E6">
        <w:tab/>
        <w:t xml:space="preserve">Manter em arquivo organizado memória de cálculo dos quantitativos de serviços executados e os </w:t>
      </w:r>
      <w:r w:rsidR="00411C3D">
        <w:t>conseqüentes</w:t>
      </w:r>
      <w:r w:rsidR="005952E6">
        <w:t xml:space="preserve"> boletins de medição.</w:t>
      </w:r>
    </w:p>
    <w:p w:rsidR="005952E6" w:rsidRDefault="005952E6" w:rsidP="005952E6"/>
    <w:p w:rsidR="005952E6" w:rsidRDefault="003E7D13" w:rsidP="005952E6">
      <w:r>
        <w:rPr>
          <w:b/>
        </w:rPr>
        <w:t>14</w:t>
      </w:r>
      <w:r w:rsidR="005952E6" w:rsidRPr="00CD366B">
        <w:rPr>
          <w:b/>
        </w:rPr>
        <w:t>.1</w:t>
      </w:r>
      <w:r w:rsidR="00BF02E9">
        <w:rPr>
          <w:b/>
        </w:rPr>
        <w:t>7</w:t>
      </w:r>
      <w:r w:rsidR="005952E6" w:rsidRPr="00CD366B">
        <w:rPr>
          <w:b/>
        </w:rPr>
        <w:t>.</w:t>
      </w:r>
      <w:r w:rsidR="005952E6">
        <w:tab/>
        <w:t>Atestar as notas fiscais e encaminhá-las ao gestor de contrato, quando houver, ou ao titular da unidade orgânica demandante, para providências quanto ao pagamento.</w:t>
      </w:r>
    </w:p>
    <w:p w:rsidR="005952E6" w:rsidRDefault="005952E6" w:rsidP="005952E6"/>
    <w:p w:rsidR="005952E6" w:rsidRDefault="003E7D13" w:rsidP="005952E6">
      <w:r>
        <w:rPr>
          <w:b/>
        </w:rPr>
        <w:t>14</w:t>
      </w:r>
      <w:r w:rsidR="00BF02E9">
        <w:rPr>
          <w:b/>
        </w:rPr>
        <w:t>.18</w:t>
      </w:r>
      <w:r w:rsidR="005952E6" w:rsidRPr="00CD366B">
        <w:rPr>
          <w:b/>
        </w:rPr>
        <w:t>.</w:t>
      </w:r>
      <w:r w:rsidR="005952E6">
        <w:tab/>
        <w:t>Receber, analisar, emitir parecer e encaminhar ao gestor de contrato, quando houver, ou ao titular da unidade orgânica demandante, para providências, os pedidos de reajuste/repactuação e reequilíbrio econômico financeiro.</w:t>
      </w:r>
    </w:p>
    <w:p w:rsidR="005952E6" w:rsidRDefault="005952E6" w:rsidP="005952E6"/>
    <w:p w:rsidR="005952E6" w:rsidRPr="002645A8" w:rsidRDefault="003E7D13" w:rsidP="005952E6">
      <w:r>
        <w:rPr>
          <w:b/>
        </w:rPr>
        <w:t>14</w:t>
      </w:r>
      <w:r w:rsidR="00BF02E9" w:rsidRPr="002645A8">
        <w:rPr>
          <w:b/>
        </w:rPr>
        <w:t>.19</w:t>
      </w:r>
      <w:r w:rsidR="005952E6" w:rsidRPr="002645A8">
        <w:rPr>
          <w:b/>
        </w:rPr>
        <w:t>.</w:t>
      </w:r>
      <w:r w:rsidR="005952E6" w:rsidRPr="002645A8">
        <w:tab/>
        <w:t>Manter controle sobre o prazo de vigência do instrumento contratual sob sua responsabilidade e encaminhar processo ao gestor de contrato, quando houver, ou ao titular da unidade orgânica demandante, no caso de solicitação de prorrogação do prazo de vigência contratual.</w:t>
      </w:r>
    </w:p>
    <w:p w:rsidR="005952E6" w:rsidRDefault="005952E6" w:rsidP="005952E6"/>
    <w:p w:rsidR="005952E6" w:rsidRDefault="003E7D13" w:rsidP="005952E6">
      <w:r>
        <w:rPr>
          <w:b/>
        </w:rPr>
        <w:t>14</w:t>
      </w:r>
      <w:r w:rsidR="005952E6" w:rsidRPr="00CD366B">
        <w:rPr>
          <w:b/>
        </w:rPr>
        <w:t>.2</w:t>
      </w:r>
      <w:r w:rsidR="00BF02E9">
        <w:rPr>
          <w:b/>
        </w:rPr>
        <w:t>0</w:t>
      </w:r>
      <w:r w:rsidR="005952E6" w:rsidRPr="00CD366B">
        <w:rPr>
          <w:b/>
        </w:rPr>
        <w:t>.</w:t>
      </w:r>
      <w:r w:rsidR="005952E6">
        <w:tab/>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rsidR="005952E6" w:rsidRDefault="005952E6" w:rsidP="005952E6"/>
    <w:p w:rsidR="005952E6" w:rsidRDefault="003E7D13" w:rsidP="005952E6">
      <w:r>
        <w:rPr>
          <w:b/>
        </w:rPr>
        <w:t>14</w:t>
      </w:r>
      <w:r w:rsidR="005952E6" w:rsidRPr="00CD366B">
        <w:rPr>
          <w:b/>
        </w:rPr>
        <w:t>.2</w:t>
      </w:r>
      <w:r w:rsidR="00BF02E9">
        <w:rPr>
          <w:b/>
        </w:rPr>
        <w:t>1</w:t>
      </w:r>
      <w:r w:rsidR="005952E6" w:rsidRPr="00CD366B">
        <w:rPr>
          <w:b/>
        </w:rPr>
        <w:t>.</w:t>
      </w:r>
      <w:r w:rsidR="005952E6">
        <w:tab/>
        <w:t>Informar à unidade de finanças, mediante Termo de Encerramento Físico – TEF, quanto ao término d</w:t>
      </w:r>
      <w:r w:rsidR="007A0017">
        <w:t>a execução dos serviços</w:t>
      </w:r>
      <w:r w:rsidR="005952E6">
        <w:t>, para providências no sentido de liberação da garantia contratual em favor da CONTRATADA.</w:t>
      </w:r>
    </w:p>
    <w:p w:rsidR="005952E6" w:rsidRDefault="005952E6" w:rsidP="005952E6"/>
    <w:p w:rsidR="005952E6" w:rsidRDefault="003E7D13" w:rsidP="005952E6">
      <w:r>
        <w:rPr>
          <w:b/>
        </w:rPr>
        <w:t>14</w:t>
      </w:r>
      <w:r w:rsidR="005952E6" w:rsidRPr="00CD366B">
        <w:rPr>
          <w:b/>
        </w:rPr>
        <w:t>.2</w:t>
      </w:r>
      <w:r w:rsidR="00BF02E9">
        <w:rPr>
          <w:b/>
        </w:rPr>
        <w:t>2</w:t>
      </w:r>
      <w:r w:rsidR="005952E6" w:rsidRPr="00CD366B">
        <w:rPr>
          <w:b/>
        </w:rPr>
        <w:t>.</w:t>
      </w:r>
      <w:r w:rsidR="005952E6">
        <w:tab/>
        <w:t>Receber as etapas d</w:t>
      </w:r>
      <w:r w:rsidR="008830C2">
        <w:t>os</w:t>
      </w:r>
      <w:r w:rsidR="005952E6">
        <w:t xml:space="preserve"> serviços ou fornecimentos mediante medições precisas e de acordo com as regras contratuais.</w:t>
      </w:r>
    </w:p>
    <w:p w:rsidR="005952E6" w:rsidRDefault="005952E6" w:rsidP="005952E6"/>
    <w:p w:rsidR="005952E6" w:rsidRDefault="003E7D13" w:rsidP="005952E6">
      <w:r>
        <w:rPr>
          <w:b/>
        </w:rPr>
        <w:t>14</w:t>
      </w:r>
      <w:r w:rsidR="005952E6" w:rsidRPr="00CD366B">
        <w:rPr>
          <w:b/>
        </w:rPr>
        <w:t>.2</w:t>
      </w:r>
      <w:r w:rsidR="00BF02E9">
        <w:rPr>
          <w:b/>
        </w:rPr>
        <w:t>3</w:t>
      </w:r>
      <w:r w:rsidR="005952E6" w:rsidRPr="00CD366B">
        <w:rPr>
          <w:b/>
        </w:rPr>
        <w:t>.</w:t>
      </w:r>
      <w:r w:rsidR="005952E6">
        <w:tab/>
        <w:t>Informar ao gestor de contrato, quando houver, ou ao titular da unidade orgânica demandante as ocorrências relacionadas à execução do contrato que ultrapassarem a sua competência de atuação, objetivando a regularização das faltas ou defeitos observados.</w:t>
      </w:r>
    </w:p>
    <w:p w:rsidR="005952E6" w:rsidRDefault="005952E6" w:rsidP="005952E6"/>
    <w:p w:rsidR="005952E6" w:rsidRDefault="003E7D13" w:rsidP="005952E6">
      <w:r>
        <w:rPr>
          <w:b/>
        </w:rPr>
        <w:t>14</w:t>
      </w:r>
      <w:r w:rsidR="005952E6" w:rsidRPr="00CD366B">
        <w:rPr>
          <w:b/>
        </w:rPr>
        <w:t>.2</w:t>
      </w:r>
      <w:r w:rsidR="00BF02E9">
        <w:rPr>
          <w:b/>
        </w:rPr>
        <w:t>4</w:t>
      </w:r>
      <w:r w:rsidR="005952E6" w:rsidRPr="00CD366B">
        <w:rPr>
          <w:b/>
        </w:rPr>
        <w:t>.</w:t>
      </w:r>
      <w:r w:rsidR="005952E6">
        <w:tab/>
        <w:t>Receber, provisória e definitivamente, as aquisições</w:t>
      </w:r>
      <w:r w:rsidR="008830C2">
        <w:t xml:space="preserve"> e</w:t>
      </w:r>
      <w:r w:rsidR="005952E6">
        <w:t xml:space="preserve"> serviços sob sua responsabilidade, mediante recibo ou Termo Circunstanciado, quando não for designada comissão de recebimento ou outro empregado.</w:t>
      </w:r>
    </w:p>
    <w:p w:rsidR="005952E6" w:rsidRDefault="005952E6" w:rsidP="005952E6"/>
    <w:p w:rsidR="005952E6" w:rsidRDefault="003E7D13" w:rsidP="005952E6">
      <w:r>
        <w:rPr>
          <w:b/>
        </w:rPr>
        <w:t>14</w:t>
      </w:r>
      <w:r w:rsidR="005952E6" w:rsidRPr="00CD366B">
        <w:rPr>
          <w:b/>
        </w:rPr>
        <w:t>.2</w:t>
      </w:r>
      <w:r w:rsidR="00BF02E9">
        <w:rPr>
          <w:b/>
        </w:rPr>
        <w:t>5</w:t>
      </w:r>
      <w:r w:rsidR="005952E6" w:rsidRPr="00CD366B">
        <w:rPr>
          <w:b/>
        </w:rPr>
        <w:t>.</w:t>
      </w:r>
      <w:r w:rsidR="005952E6">
        <w:tab/>
        <w:t>Acompanhar e cobrar da CONTRATADA a execução de planos ou programas ambientais, quando houver, bem como o cumprimento das condicionantes da licença ambiental, também quando houver, tomando providências para minimizar impactos de acidentes ambientais.</w:t>
      </w:r>
    </w:p>
    <w:p w:rsidR="005952E6" w:rsidRDefault="005952E6" w:rsidP="005952E6"/>
    <w:p w:rsidR="005952E6" w:rsidRDefault="003E7D13" w:rsidP="005952E6">
      <w:r>
        <w:rPr>
          <w:b/>
        </w:rPr>
        <w:t>14</w:t>
      </w:r>
      <w:r w:rsidR="005952E6" w:rsidRPr="00CD366B">
        <w:rPr>
          <w:b/>
        </w:rPr>
        <w:t>.2</w:t>
      </w:r>
      <w:r w:rsidR="00BF02E9">
        <w:rPr>
          <w:b/>
        </w:rPr>
        <w:t>6</w:t>
      </w:r>
      <w:r w:rsidR="005952E6" w:rsidRPr="00CD366B">
        <w:rPr>
          <w:b/>
        </w:rPr>
        <w:t>.</w:t>
      </w:r>
      <w:r w:rsidR="005952E6">
        <w:tab/>
        <w:t>Realizar vistorias n</w:t>
      </w:r>
      <w:r w:rsidR="008830C2">
        <w:t>o local de execução dos serviços</w:t>
      </w:r>
      <w:r w:rsidR="005952E6">
        <w:t xml:space="preserve"> e verificar sua conformidade com as normas aplicáveis e com as orientações técnicas, indicações de segurança e uso de Equipamentos de Proteção Individual – </w:t>
      </w:r>
      <w:proofErr w:type="spellStart"/>
      <w:r w:rsidR="005952E6">
        <w:t>EPI’s</w:t>
      </w:r>
      <w:proofErr w:type="spellEnd"/>
      <w:r w:rsidR="005952E6">
        <w:t>.</w:t>
      </w:r>
    </w:p>
    <w:p w:rsidR="005952E6" w:rsidRDefault="005952E6" w:rsidP="005952E6"/>
    <w:p w:rsidR="005952E6" w:rsidRDefault="003E7D13" w:rsidP="005952E6">
      <w:r>
        <w:rPr>
          <w:b/>
        </w:rPr>
        <w:t>14</w:t>
      </w:r>
      <w:r w:rsidR="005952E6" w:rsidRPr="00CD366B">
        <w:rPr>
          <w:b/>
        </w:rPr>
        <w:t>.2</w:t>
      </w:r>
      <w:r w:rsidR="00BF02E9">
        <w:rPr>
          <w:b/>
        </w:rPr>
        <w:t>7</w:t>
      </w:r>
      <w:r w:rsidR="005952E6" w:rsidRPr="00CD366B">
        <w:rPr>
          <w:b/>
        </w:rPr>
        <w:t>.</w:t>
      </w:r>
      <w:r w:rsidR="005952E6">
        <w:tab/>
        <w:t>Acompanhar a execução d</w:t>
      </w:r>
      <w:r w:rsidR="008830C2">
        <w:t>os serviços</w:t>
      </w:r>
      <w:r w:rsidR="005952E6">
        <w:t>, verificando a correta utilização quantitativa e qualitativa dos materiais e equipamentos empregados, com a finalidade de zelar pela manutenção da qualidade adequada.</w:t>
      </w:r>
    </w:p>
    <w:p w:rsidR="005952E6" w:rsidRDefault="005952E6" w:rsidP="005952E6"/>
    <w:p w:rsidR="005952E6" w:rsidRDefault="003E7D13" w:rsidP="005952E6">
      <w:r>
        <w:rPr>
          <w:b/>
        </w:rPr>
        <w:t>14</w:t>
      </w:r>
      <w:r w:rsidR="005952E6" w:rsidRPr="00CD366B">
        <w:rPr>
          <w:b/>
        </w:rPr>
        <w:t>.</w:t>
      </w:r>
      <w:r w:rsidR="005F40DB">
        <w:rPr>
          <w:b/>
        </w:rPr>
        <w:t>28</w:t>
      </w:r>
      <w:r w:rsidR="005952E6" w:rsidRPr="00CD366B">
        <w:rPr>
          <w:b/>
        </w:rPr>
        <w:t>.</w:t>
      </w:r>
      <w:r w:rsidR="005952E6">
        <w:tab/>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5952E6" w:rsidRDefault="005952E6" w:rsidP="005952E6"/>
    <w:p w:rsidR="005952E6" w:rsidRDefault="005952E6" w:rsidP="005952E6">
      <w:r w:rsidRPr="00CD366B">
        <w:rPr>
          <w:b/>
        </w:rPr>
        <w:t>1</w:t>
      </w:r>
      <w:r w:rsidR="003E7D13">
        <w:rPr>
          <w:b/>
        </w:rPr>
        <w:t>4</w:t>
      </w:r>
      <w:r w:rsidRPr="00CD366B">
        <w:rPr>
          <w:b/>
        </w:rPr>
        <w:t>.</w:t>
      </w:r>
      <w:r w:rsidR="005F40DB">
        <w:rPr>
          <w:b/>
        </w:rPr>
        <w:t>29</w:t>
      </w:r>
      <w:r w:rsidRPr="00CD366B">
        <w:rPr>
          <w:b/>
        </w:rPr>
        <w:t>.</w:t>
      </w:r>
      <w:r>
        <w:tab/>
        <w:t>A ação e/ou omissão, total ou parcial, da Fiscalização não eximirá a CONTRATADA da integral responsabilidade pela execução do objeto deste contrato.</w:t>
      </w:r>
    </w:p>
    <w:p w:rsidR="005952E6" w:rsidRDefault="005952E6" w:rsidP="005952E6"/>
    <w:p w:rsidR="00795DCB" w:rsidRDefault="003E7D13" w:rsidP="005952E6">
      <w:r>
        <w:rPr>
          <w:b/>
        </w:rPr>
        <w:t>14</w:t>
      </w:r>
      <w:r w:rsidR="005952E6" w:rsidRPr="00CD366B">
        <w:rPr>
          <w:b/>
        </w:rPr>
        <w:t>.3</w:t>
      </w:r>
      <w:r w:rsidR="005F40DB">
        <w:rPr>
          <w:b/>
        </w:rPr>
        <w:t>0</w:t>
      </w:r>
      <w:r w:rsidR="005952E6" w:rsidRPr="00CD366B">
        <w:rPr>
          <w:b/>
        </w:rPr>
        <w:t>.</w:t>
      </w:r>
      <w:r w:rsidR="005952E6">
        <w:tab/>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rsidR="003B316F" w:rsidRDefault="003B316F" w:rsidP="003A2D9B">
      <w:pPr>
        <w:rPr>
          <w:szCs w:val="20"/>
        </w:rPr>
      </w:pPr>
    </w:p>
    <w:p w:rsidR="003A2D9B" w:rsidRPr="00BB4831" w:rsidRDefault="003A2D9B" w:rsidP="009017F5">
      <w:pPr>
        <w:pStyle w:val="Ttulo1"/>
        <w:numPr>
          <w:ilvl w:val="0"/>
          <w:numId w:val="24"/>
        </w:numPr>
      </w:pPr>
      <w:bookmarkStart w:id="28" w:name="_Toc18400282"/>
      <w:r w:rsidRPr="00BB4831">
        <w:t>RECEBIMENTO DEFINITIVO DOS SERVIÇOS</w:t>
      </w:r>
      <w:bookmarkEnd w:id="28"/>
    </w:p>
    <w:p w:rsidR="00CD366B" w:rsidRDefault="00CD366B" w:rsidP="00CD366B">
      <w:pPr>
        <w:pStyle w:val="Ttulo2"/>
        <w:numPr>
          <w:ilvl w:val="0"/>
          <w:numId w:val="0"/>
        </w:numPr>
        <w:rPr>
          <w:szCs w:val="20"/>
        </w:rPr>
      </w:pPr>
      <w:bookmarkStart w:id="29" w:name="_Ref462323335"/>
    </w:p>
    <w:p w:rsidR="004F4D0F" w:rsidRDefault="007C7F3D" w:rsidP="00CD366B">
      <w:pPr>
        <w:pStyle w:val="Ttulo2"/>
        <w:numPr>
          <w:ilvl w:val="0"/>
          <w:numId w:val="0"/>
        </w:numPr>
        <w:rPr>
          <w:szCs w:val="20"/>
        </w:rPr>
      </w:pPr>
      <w:r>
        <w:rPr>
          <w:b/>
        </w:rPr>
        <w:t xml:space="preserve">15.1. </w:t>
      </w:r>
      <w:r w:rsidR="004F4D0F">
        <w:t xml:space="preserve">Para a finalização dos trabalhos e, respectiva emissão, por parte da CODEVASF, do Termo de Encerramento Físico e do Atestado de Capacidade Técnica, além da liberação da caução contratual, a CONTRATADA deverá executar todos os serviços descritos no item </w:t>
      </w:r>
      <w:proofErr w:type="gramStart"/>
      <w:r w:rsidR="004F4D0F">
        <w:t>5</w:t>
      </w:r>
      <w:proofErr w:type="gramEnd"/>
      <w:r w:rsidR="004F4D0F">
        <w:t xml:space="preserve"> deste TR, conforme o projeto básico e as especificações técnicas estabelecidas pela CODEVASF.</w:t>
      </w:r>
      <w:bookmarkEnd w:id="29"/>
    </w:p>
    <w:p w:rsidR="004F4D0F" w:rsidRPr="003F0DDC" w:rsidRDefault="004F4D0F" w:rsidP="004F4D0F">
      <w:pPr>
        <w:rPr>
          <w:szCs w:val="20"/>
        </w:rPr>
      </w:pPr>
    </w:p>
    <w:p w:rsidR="004F4D0F" w:rsidRPr="003F0DDC" w:rsidRDefault="007C7F3D" w:rsidP="00CD366B">
      <w:pPr>
        <w:pStyle w:val="Ttulo3"/>
        <w:numPr>
          <w:ilvl w:val="0"/>
          <w:numId w:val="0"/>
        </w:numPr>
        <w:rPr>
          <w:szCs w:val="20"/>
        </w:rPr>
      </w:pPr>
      <w:r>
        <w:rPr>
          <w:b/>
        </w:rPr>
        <w:t>15</w:t>
      </w:r>
      <w:r w:rsidR="00CD366B" w:rsidRPr="003F0DDC">
        <w:rPr>
          <w:b/>
        </w:rPr>
        <w:t>.2</w:t>
      </w:r>
      <w:r w:rsidR="004F4D0F" w:rsidRPr="003F0DDC">
        <w:t>Após o término dos serviços objeto deste TR, a CONTRATADA requererá à FISCALIZAÇÃO, o seu recebimento provisório, que deverá ocorrer no prazo de até 15 (quinze) dias da data de sua solicitação.</w:t>
      </w:r>
    </w:p>
    <w:p w:rsidR="004F4D0F" w:rsidRDefault="004F4D0F" w:rsidP="004F4D0F"/>
    <w:p w:rsidR="004F4D0F" w:rsidRDefault="007C7F3D" w:rsidP="00CD366B">
      <w:pPr>
        <w:pStyle w:val="Ttulo3"/>
        <w:numPr>
          <w:ilvl w:val="0"/>
          <w:numId w:val="0"/>
        </w:numPr>
      </w:pPr>
      <w:r>
        <w:rPr>
          <w:b/>
        </w:rPr>
        <w:t>15</w:t>
      </w:r>
      <w:r w:rsidR="00CD366B" w:rsidRPr="00CD366B">
        <w:rPr>
          <w:b/>
        </w:rPr>
        <w:t>.3</w:t>
      </w:r>
      <w:r w:rsidR="004F4D0F">
        <w:t>Na hip</w:t>
      </w:r>
      <w:r w:rsidR="008E4B06">
        <w:t xml:space="preserve">ótese da necessidade de correções, </w:t>
      </w:r>
      <w:proofErr w:type="spellStart"/>
      <w:r w:rsidR="008E4B06">
        <w:t>seráestabelecido</w:t>
      </w:r>
      <w:proofErr w:type="spellEnd"/>
      <w:r w:rsidR="004F4D0F">
        <w:t xml:space="preserve"> pela FISCALIZAÇÃO um prazo, para que a CONTRATADA, às suas expensas, complemente, refaça ou substitua os serviços rejeitados.</w:t>
      </w:r>
    </w:p>
    <w:p w:rsidR="004F4D0F" w:rsidRDefault="004F4D0F" w:rsidP="004F4D0F">
      <w:pPr>
        <w:rPr>
          <w:szCs w:val="20"/>
        </w:rPr>
      </w:pPr>
    </w:p>
    <w:p w:rsidR="004F4D0F" w:rsidRDefault="007C7F3D" w:rsidP="00CD366B">
      <w:pPr>
        <w:pStyle w:val="Ttulo3"/>
        <w:numPr>
          <w:ilvl w:val="0"/>
          <w:numId w:val="0"/>
        </w:numPr>
        <w:rPr>
          <w:szCs w:val="20"/>
        </w:rPr>
      </w:pPr>
      <w:r>
        <w:rPr>
          <w:b/>
        </w:rPr>
        <w:t>15</w:t>
      </w:r>
      <w:r w:rsidR="00CD366B" w:rsidRPr="00CD366B">
        <w:rPr>
          <w:b/>
        </w:rPr>
        <w:t>.4</w:t>
      </w:r>
      <w:r w:rsidR="004F4D0F">
        <w:t>Após o recebimento provisório do objeto pela FISCALIZAÇÃO</w:t>
      </w:r>
      <w:proofErr w:type="gramStart"/>
      <w:r w:rsidR="00DB0ACB">
        <w:t>,</w:t>
      </w:r>
      <w:r w:rsidR="004F4D0F">
        <w:t xml:space="preserve"> será</w:t>
      </w:r>
      <w:proofErr w:type="gramEnd"/>
      <w:r w:rsidR="004F4D0F">
        <w:t xml:space="preserve"> designado Servidor ou Comissão para o recebimento definitivo do objeto, que deverá ocorrer no prazo de até 90 (noventa) dias da data de sua designação.</w:t>
      </w:r>
    </w:p>
    <w:p w:rsidR="004F4D0F" w:rsidRDefault="004F4D0F" w:rsidP="004F4D0F"/>
    <w:p w:rsidR="004F4D0F" w:rsidRDefault="007C7F3D" w:rsidP="00CD366B">
      <w:pPr>
        <w:pStyle w:val="Ttulo3"/>
        <w:numPr>
          <w:ilvl w:val="0"/>
          <w:numId w:val="0"/>
        </w:numPr>
      </w:pPr>
      <w:r>
        <w:rPr>
          <w:b/>
        </w:rPr>
        <w:t>15</w:t>
      </w:r>
      <w:r w:rsidR="00CD366B" w:rsidRPr="00CD366B">
        <w:rPr>
          <w:b/>
        </w:rPr>
        <w:t>.5</w:t>
      </w:r>
      <w:r w:rsidR="004F4D0F">
        <w:t>Na hipótese da necessidade de correção, o Servidor ou Comissão estabelecerá um prazo para que a CONTRATADA, às suas expensas, complemente, refaça ou substitua os serviços rejeitados.</w:t>
      </w:r>
    </w:p>
    <w:p w:rsidR="004F4D0F" w:rsidRDefault="004F4D0F" w:rsidP="004F4D0F">
      <w:pPr>
        <w:rPr>
          <w:szCs w:val="20"/>
        </w:rPr>
      </w:pPr>
    </w:p>
    <w:p w:rsidR="004F4D0F" w:rsidRDefault="007C7F3D" w:rsidP="00CD366B">
      <w:pPr>
        <w:pStyle w:val="Ttulo3"/>
        <w:numPr>
          <w:ilvl w:val="0"/>
          <w:numId w:val="0"/>
        </w:numPr>
        <w:rPr>
          <w:szCs w:val="20"/>
        </w:rPr>
      </w:pPr>
      <w:r>
        <w:rPr>
          <w:b/>
        </w:rPr>
        <w:t>15</w:t>
      </w:r>
      <w:r w:rsidR="00CD366B" w:rsidRPr="00CD366B">
        <w:rPr>
          <w:b/>
        </w:rPr>
        <w:t>.6</w:t>
      </w:r>
      <w:r w:rsidR="004F4D0F">
        <w:t>Os ensaios, testes e demais provas exigid</w:t>
      </w:r>
      <w:r w:rsidR="005952E6">
        <w:t>a</w:t>
      </w:r>
      <w:r w:rsidR="004F4D0F">
        <w:t xml:space="preserve">s por normas técnicas oficiais para a boa execução do objeto do contrato correm por conta </w:t>
      </w:r>
      <w:proofErr w:type="spellStart"/>
      <w:proofErr w:type="gramStart"/>
      <w:r w:rsidR="004F4D0F">
        <w:t>d</w:t>
      </w:r>
      <w:r w:rsidR="001115EC">
        <w:t>aCONTRATADA</w:t>
      </w:r>
      <w:proofErr w:type="spellEnd"/>
      <w:proofErr w:type="gramEnd"/>
      <w:r w:rsidR="004F4D0F">
        <w:t>.</w:t>
      </w:r>
    </w:p>
    <w:p w:rsidR="004F4D0F" w:rsidRDefault="004F4D0F" w:rsidP="004F4D0F">
      <w:pPr>
        <w:rPr>
          <w:szCs w:val="20"/>
        </w:rPr>
      </w:pPr>
    </w:p>
    <w:p w:rsidR="004F4D0F" w:rsidRDefault="007C7F3D" w:rsidP="00CD366B">
      <w:pPr>
        <w:pStyle w:val="Ttulo3"/>
        <w:numPr>
          <w:ilvl w:val="0"/>
          <w:numId w:val="0"/>
        </w:numPr>
        <w:rPr>
          <w:szCs w:val="20"/>
        </w:rPr>
      </w:pPr>
      <w:r>
        <w:rPr>
          <w:b/>
        </w:rPr>
        <w:t>15</w:t>
      </w:r>
      <w:r w:rsidR="00CD366B" w:rsidRPr="00CD366B">
        <w:rPr>
          <w:b/>
        </w:rPr>
        <w:t>.7</w:t>
      </w:r>
      <w:r w:rsidR="004F4D0F">
        <w:t>Aceitos e aprovados os serviços, será emitido o Termo de Encerramento Físico (TEF), que deverá ser assinado por representante autorizado da CONTRATADA, possibilitando a liberação da garantia.</w:t>
      </w:r>
    </w:p>
    <w:p w:rsidR="004F4D0F" w:rsidRDefault="004F4D0F" w:rsidP="004F4D0F">
      <w:pPr>
        <w:pStyle w:val="Ttulo3"/>
        <w:numPr>
          <w:ilvl w:val="0"/>
          <w:numId w:val="0"/>
        </w:numPr>
      </w:pPr>
    </w:p>
    <w:p w:rsidR="004F4D0F" w:rsidRDefault="007C7F3D" w:rsidP="00CD366B">
      <w:pPr>
        <w:pStyle w:val="Ttulo3"/>
        <w:numPr>
          <w:ilvl w:val="0"/>
          <w:numId w:val="0"/>
        </w:numPr>
      </w:pPr>
      <w:r>
        <w:rPr>
          <w:b/>
        </w:rPr>
        <w:t>15</w:t>
      </w:r>
      <w:r w:rsidR="00CD366B" w:rsidRPr="00CD366B">
        <w:rPr>
          <w:b/>
        </w:rPr>
        <w:t>.8</w:t>
      </w:r>
      <w:r w:rsidR="004F4D0F">
        <w:t xml:space="preserve">O recebimento provisório ou definitivo não exclui a responsabilidade civil pela solidez e segurança do serviço, nem ético-profissional pela perfeita execução do contrato, dentro dos limites estabelecidos neste </w:t>
      </w:r>
      <w:r w:rsidR="007B0E70">
        <w:t>Termo de Referência</w:t>
      </w:r>
      <w:r w:rsidR="004F4D0F">
        <w:t>, por parte da CONTRATADA.</w:t>
      </w:r>
    </w:p>
    <w:p w:rsidR="00CD366B" w:rsidRDefault="00CD366B" w:rsidP="004F4D0F">
      <w:pPr>
        <w:rPr>
          <w:szCs w:val="20"/>
        </w:rPr>
      </w:pPr>
    </w:p>
    <w:p w:rsidR="004F4D0F" w:rsidRDefault="007C7F3D" w:rsidP="00CD366B">
      <w:pPr>
        <w:pStyle w:val="Ttulo3"/>
        <w:numPr>
          <w:ilvl w:val="0"/>
          <w:numId w:val="0"/>
        </w:numPr>
        <w:rPr>
          <w:szCs w:val="20"/>
        </w:rPr>
      </w:pPr>
      <w:r>
        <w:rPr>
          <w:b/>
        </w:rPr>
        <w:t>15</w:t>
      </w:r>
      <w:r w:rsidR="00CD366B" w:rsidRPr="00CD366B">
        <w:rPr>
          <w:b/>
        </w:rPr>
        <w:t xml:space="preserve">.9 </w:t>
      </w:r>
      <w:r w:rsidR="004F4D0F">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4F4D0F" w:rsidRDefault="004F4D0F" w:rsidP="004F4D0F">
      <w:pPr>
        <w:pStyle w:val="Ttulo2"/>
        <w:numPr>
          <w:ilvl w:val="0"/>
          <w:numId w:val="0"/>
        </w:numPr>
      </w:pPr>
    </w:p>
    <w:p w:rsidR="004F4D0F" w:rsidRDefault="007C7F3D" w:rsidP="00CD366B">
      <w:pPr>
        <w:pStyle w:val="Ttulo3"/>
        <w:numPr>
          <w:ilvl w:val="0"/>
          <w:numId w:val="0"/>
        </w:numPr>
      </w:pPr>
      <w:r>
        <w:rPr>
          <w:b/>
        </w:rPr>
        <w:t>15</w:t>
      </w:r>
      <w:r w:rsidR="00CD366B" w:rsidRPr="00CD366B">
        <w:rPr>
          <w:b/>
        </w:rPr>
        <w:t>.10</w:t>
      </w:r>
      <w:r w:rsidR="004F4D0F">
        <w:t xml:space="preserve">A CONTRATADA </w:t>
      </w:r>
      <w:proofErr w:type="gramStart"/>
      <w:r w:rsidR="004F4D0F">
        <w:t>entende</w:t>
      </w:r>
      <w:proofErr w:type="gramEnd"/>
      <w:r w:rsidR="004F4D0F">
        <w:t xml:space="preserve"> e aceita que o pleno cumprimento do estipulado neste item é condicionante para:</w:t>
      </w:r>
    </w:p>
    <w:p w:rsidR="004F4D0F" w:rsidRDefault="004F4D0F" w:rsidP="004F4D0F">
      <w:pPr>
        <w:rPr>
          <w:szCs w:val="20"/>
        </w:rPr>
      </w:pPr>
    </w:p>
    <w:p w:rsidR="004F4D0F" w:rsidRDefault="004F4D0F" w:rsidP="004F4D0F">
      <w:pPr>
        <w:ind w:left="851"/>
        <w:rPr>
          <w:szCs w:val="20"/>
        </w:rPr>
      </w:pPr>
      <w:proofErr w:type="gramStart"/>
      <w:r>
        <w:rPr>
          <w:szCs w:val="20"/>
        </w:rPr>
        <w:t>a</w:t>
      </w:r>
      <w:proofErr w:type="gramEnd"/>
      <w:r>
        <w:rPr>
          <w:szCs w:val="20"/>
        </w:rPr>
        <w:t>)</w:t>
      </w:r>
      <w:r>
        <w:rPr>
          <w:szCs w:val="20"/>
        </w:rPr>
        <w:tab/>
        <w:t>Emissão do Termo de Encerramento Físico (TEF);</w:t>
      </w:r>
    </w:p>
    <w:p w:rsidR="004F4D0F" w:rsidRDefault="004F4D0F" w:rsidP="004F4D0F">
      <w:pPr>
        <w:ind w:left="851"/>
        <w:rPr>
          <w:szCs w:val="20"/>
        </w:rPr>
      </w:pPr>
      <w:proofErr w:type="gramStart"/>
      <w:r>
        <w:rPr>
          <w:szCs w:val="20"/>
        </w:rPr>
        <w:t>b)</w:t>
      </w:r>
      <w:proofErr w:type="gramEnd"/>
      <w:r>
        <w:rPr>
          <w:szCs w:val="20"/>
        </w:rPr>
        <w:tab/>
        <w:t>Emissão do Atestado de Capacidade Técnica;</w:t>
      </w:r>
    </w:p>
    <w:p w:rsidR="004F4D0F" w:rsidRDefault="004F4D0F" w:rsidP="004F4D0F">
      <w:pPr>
        <w:ind w:left="851"/>
        <w:rPr>
          <w:szCs w:val="20"/>
        </w:rPr>
      </w:pPr>
      <w:proofErr w:type="gramStart"/>
      <w:r>
        <w:rPr>
          <w:szCs w:val="20"/>
        </w:rPr>
        <w:t>c)</w:t>
      </w:r>
      <w:proofErr w:type="gramEnd"/>
      <w:r>
        <w:rPr>
          <w:szCs w:val="20"/>
        </w:rPr>
        <w:tab/>
        <w:t>Liberação da Caução Contratual.</w:t>
      </w:r>
    </w:p>
    <w:p w:rsidR="004F4D0F" w:rsidRDefault="004F4D0F" w:rsidP="004F4D0F">
      <w:pPr>
        <w:pStyle w:val="Ttulo2"/>
        <w:numPr>
          <w:ilvl w:val="0"/>
          <w:numId w:val="0"/>
        </w:numPr>
        <w:rPr>
          <w:szCs w:val="20"/>
        </w:rPr>
      </w:pPr>
    </w:p>
    <w:p w:rsidR="004F4D0F" w:rsidRPr="007B1BCF" w:rsidRDefault="007C7F3D" w:rsidP="00CD366B">
      <w:pPr>
        <w:pStyle w:val="Ttulo3"/>
        <w:numPr>
          <w:ilvl w:val="0"/>
          <w:numId w:val="0"/>
        </w:numPr>
        <w:tabs>
          <w:tab w:val="left" w:pos="851"/>
        </w:tabs>
      </w:pPr>
      <w:r>
        <w:rPr>
          <w:b/>
        </w:rPr>
        <w:t>15</w:t>
      </w:r>
      <w:r w:rsidR="00CD366B" w:rsidRPr="007B1BCF">
        <w:rPr>
          <w:b/>
        </w:rPr>
        <w:t>.11</w:t>
      </w:r>
      <w:r w:rsidR="004F4D0F" w:rsidRPr="007B1BCF">
        <w:t>A última fatura de serviços somente será encaminhada para pagamento após a emissão do Termo de Encerramento Físico do Contrato (TEF), que deverá ser anexado ao processo de liberação e pagamento.</w:t>
      </w:r>
    </w:p>
    <w:p w:rsidR="004F4D0F" w:rsidRDefault="004F4D0F" w:rsidP="004F4D0F"/>
    <w:p w:rsidR="00CD366B" w:rsidRDefault="00CD366B" w:rsidP="004F4D0F"/>
    <w:p w:rsidR="00BF430C" w:rsidRPr="00EB3286" w:rsidRDefault="00BF430C" w:rsidP="009017F5">
      <w:pPr>
        <w:pStyle w:val="Ttulo1"/>
        <w:numPr>
          <w:ilvl w:val="0"/>
          <w:numId w:val="24"/>
        </w:numPr>
      </w:pPr>
      <w:bookmarkStart w:id="30" w:name="_Toc18400283"/>
      <w:r w:rsidRPr="00EB3286">
        <w:t>SEGURANÇA E MEDICINA DO TRABALHO</w:t>
      </w:r>
      <w:bookmarkEnd w:id="30"/>
    </w:p>
    <w:p w:rsidR="00BF430C" w:rsidRPr="00EB3286" w:rsidRDefault="00BF430C" w:rsidP="00BF430C">
      <w:pPr>
        <w:rPr>
          <w:szCs w:val="20"/>
        </w:rPr>
      </w:pPr>
    </w:p>
    <w:p w:rsidR="00BF430C" w:rsidRPr="00EB3286" w:rsidRDefault="00BF430C" w:rsidP="009017F5">
      <w:pPr>
        <w:pStyle w:val="Ttulo2"/>
        <w:numPr>
          <w:ilvl w:val="1"/>
          <w:numId w:val="24"/>
        </w:numPr>
        <w:ind w:left="0" w:firstLine="0"/>
      </w:pPr>
      <w:r w:rsidRPr="00EB3286">
        <w:t xml:space="preserve">A </w:t>
      </w:r>
      <w:r w:rsidR="00E80740">
        <w:t>CONTRATADA</w:t>
      </w:r>
      <w:r w:rsidRPr="00EB3286">
        <w:t xml:space="preserve"> deverá atender à legislação pertinente à proteção da integridade física e da saúde dos trabalhadores durante a realização dos serviços, conforme dispõe a Lei nº 6.514 de 22/12/1977, Portaria nº 3.214, de 08/06/1978, do ISSO e deverá</w:t>
      </w:r>
      <w:r w:rsidR="00986011">
        <w:t xml:space="preserve"> quando couber</w:t>
      </w:r>
      <w:r w:rsidRPr="00EB3286">
        <w:t>:</w:t>
      </w:r>
    </w:p>
    <w:p w:rsidR="00BF430C" w:rsidRPr="00EB3286" w:rsidRDefault="00BF430C" w:rsidP="00BF430C">
      <w:pPr>
        <w:rPr>
          <w:szCs w:val="20"/>
        </w:rPr>
      </w:pPr>
    </w:p>
    <w:p w:rsidR="00BF430C" w:rsidRPr="00EB3286" w:rsidRDefault="00BF430C" w:rsidP="009017F5">
      <w:pPr>
        <w:pStyle w:val="PargrafodaLista"/>
        <w:numPr>
          <w:ilvl w:val="0"/>
          <w:numId w:val="3"/>
        </w:numPr>
      </w:pPr>
      <w:r w:rsidRPr="00EB3286">
        <w:t xml:space="preserve">Cumprir e fazer cumprir as Normas Regulamentadoras de Segurança e Medicina do Trabalho – </w:t>
      </w:r>
      <w:proofErr w:type="spellStart"/>
      <w:r w:rsidRPr="00EB3286">
        <w:t>NRs</w:t>
      </w:r>
      <w:proofErr w:type="spellEnd"/>
      <w:r w:rsidRPr="00EB3286">
        <w:t>, pertinentes à natureza dos serviços a serem desenvolvidos;</w:t>
      </w:r>
    </w:p>
    <w:p w:rsidR="00BF430C" w:rsidRPr="00EB3286" w:rsidRDefault="00BF430C" w:rsidP="009017F5">
      <w:pPr>
        <w:pStyle w:val="PargrafodaLista"/>
        <w:numPr>
          <w:ilvl w:val="0"/>
          <w:numId w:val="3"/>
        </w:numPr>
      </w:pPr>
      <w:r w:rsidRPr="00EB3286">
        <w:t>Elaborar os Programas PPRA e PCMSO, além do PCMAT nos casos previstos na NR-18;</w:t>
      </w:r>
    </w:p>
    <w:p w:rsidR="00BF430C" w:rsidRPr="00EB3286" w:rsidRDefault="00BF430C" w:rsidP="009017F5">
      <w:pPr>
        <w:pStyle w:val="PargrafodaLista"/>
        <w:numPr>
          <w:ilvl w:val="0"/>
          <w:numId w:val="3"/>
        </w:numPr>
      </w:pPr>
      <w:r w:rsidRPr="00EB3286">
        <w:t>Manter nos Eixos, o SESMT conforme dimensionamento disposto no Quadro II da NR-4.</w:t>
      </w:r>
    </w:p>
    <w:p w:rsidR="00BF430C" w:rsidRDefault="00BF430C" w:rsidP="00BF430C">
      <w:pPr>
        <w:rPr>
          <w:szCs w:val="20"/>
        </w:rPr>
      </w:pPr>
    </w:p>
    <w:p w:rsidR="009361D3" w:rsidRPr="00EB3286" w:rsidRDefault="009361D3" w:rsidP="00BF430C">
      <w:pPr>
        <w:rPr>
          <w:szCs w:val="20"/>
        </w:rPr>
      </w:pPr>
    </w:p>
    <w:p w:rsidR="00BF430C" w:rsidRPr="006F63B1" w:rsidRDefault="00BF430C" w:rsidP="009017F5">
      <w:pPr>
        <w:pStyle w:val="Ttulo1"/>
        <w:numPr>
          <w:ilvl w:val="0"/>
          <w:numId w:val="24"/>
        </w:numPr>
      </w:pPr>
      <w:bookmarkStart w:id="31" w:name="_Toc18400284"/>
      <w:r w:rsidRPr="006F63B1">
        <w:t>CRITÉRIOS DE SUSTENTABILIDADE AMBIENTAL</w:t>
      </w:r>
      <w:bookmarkEnd w:id="31"/>
    </w:p>
    <w:p w:rsidR="00BF430C" w:rsidRPr="00B67FDF" w:rsidRDefault="00BF430C" w:rsidP="004C4440"/>
    <w:p w:rsidR="00F67F6A" w:rsidRPr="00B67FDF" w:rsidRDefault="00F67F6A" w:rsidP="009017F5">
      <w:pPr>
        <w:pStyle w:val="Ttulo2"/>
        <w:numPr>
          <w:ilvl w:val="1"/>
          <w:numId w:val="24"/>
        </w:numPr>
        <w:ind w:left="0" w:firstLine="0"/>
        <w:rPr>
          <w:szCs w:val="20"/>
        </w:rPr>
      </w:pPr>
      <w:r w:rsidRPr="00B67FDF">
        <w:rPr>
          <w:szCs w:val="20"/>
        </w:rPr>
        <w:t xml:space="preserve">A Contratada deverá executar </w:t>
      </w:r>
      <w:r w:rsidR="008830C2">
        <w:rPr>
          <w:szCs w:val="20"/>
        </w:rPr>
        <w:t>os serviços de engenharia</w:t>
      </w:r>
      <w:r w:rsidRPr="00B67FDF">
        <w:rPr>
          <w:szCs w:val="20"/>
        </w:rPr>
        <w:t xml:space="preserve"> em conformidade com a Licença Ambiental e o respectivo estudo ambiental</w:t>
      </w:r>
      <w:r w:rsidR="008830C2">
        <w:rPr>
          <w:szCs w:val="20"/>
        </w:rPr>
        <w:t>, quando couber, em função da legislação vigente no local de execução dos serviços</w:t>
      </w:r>
      <w:r w:rsidRPr="00B67FDF">
        <w:rPr>
          <w:szCs w:val="20"/>
        </w:rPr>
        <w:t>.</w:t>
      </w:r>
    </w:p>
    <w:p w:rsidR="00F67F6A" w:rsidRPr="00B67FDF" w:rsidRDefault="00F67F6A" w:rsidP="00F67F6A"/>
    <w:p w:rsidR="00F67F6A" w:rsidRPr="00B67FDF" w:rsidRDefault="00F67F6A" w:rsidP="009017F5">
      <w:pPr>
        <w:pStyle w:val="Ttulo2"/>
        <w:numPr>
          <w:ilvl w:val="1"/>
          <w:numId w:val="24"/>
        </w:numPr>
        <w:ind w:left="0" w:firstLine="0"/>
      </w:pPr>
      <w:r w:rsidRPr="00B67FDF">
        <w:t>Na execução d</w:t>
      </w:r>
      <w:r w:rsidR="008830C2">
        <w:t>os</w:t>
      </w:r>
      <w:r w:rsidRPr="00B67FDF">
        <w:t xml:space="preserve"> serviços será exigido o pleno atendimento da Instrução Normativa SLTI/MP nº 01/2010, onde a CONTRATADA deverá adotar as seguintes providências:</w:t>
      </w:r>
    </w:p>
    <w:p w:rsidR="00F67F6A" w:rsidRPr="00B67FDF" w:rsidRDefault="00F67F6A" w:rsidP="00F67F6A"/>
    <w:p w:rsidR="00F67F6A" w:rsidRPr="00B67FDF" w:rsidRDefault="00F67F6A" w:rsidP="009017F5">
      <w:pPr>
        <w:pStyle w:val="PargrafodaLista"/>
        <w:numPr>
          <w:ilvl w:val="0"/>
          <w:numId w:val="7"/>
        </w:numPr>
      </w:pPr>
      <w:r w:rsidRPr="00B67FDF">
        <w:t>Deverá ser priorizado o emprego de mão-de-obra, materiais, tecnologias e matérias-primas de origem local para execução, conservação e operação d</w:t>
      </w:r>
      <w:r w:rsidR="002C6254">
        <w:t>o</w:t>
      </w:r>
      <w:r w:rsidRPr="00B67FDF">
        <w:t>s s</w:t>
      </w:r>
      <w:r w:rsidR="002C6254">
        <w:t>erviços</w:t>
      </w:r>
      <w:r w:rsidRPr="00B67FDF">
        <w:t xml:space="preserve"> públic</w:t>
      </w:r>
      <w:r w:rsidR="002C6254">
        <w:t>o</w:t>
      </w:r>
      <w:r w:rsidRPr="00B67FDF">
        <w:t>s.</w:t>
      </w:r>
    </w:p>
    <w:p w:rsidR="00F67F6A" w:rsidRPr="00B67FDF" w:rsidRDefault="00F67F6A" w:rsidP="009017F5">
      <w:pPr>
        <w:pStyle w:val="PargrafodaLista"/>
        <w:numPr>
          <w:ilvl w:val="0"/>
          <w:numId w:val="7"/>
        </w:numPr>
      </w:pPr>
      <w:r w:rsidRPr="00B67FDF">
        <w:rPr>
          <w:szCs w:val="20"/>
        </w:rPr>
        <w:t>Os resíduos sólidos reutilizáveis e recicláveis devem ser acondicionados adequadamente e de forma diferenciada, para fins de disponibilização à coleta seletiva.</w:t>
      </w:r>
    </w:p>
    <w:p w:rsidR="00F67F6A" w:rsidRPr="00B67FDF" w:rsidRDefault="00F67F6A" w:rsidP="009017F5">
      <w:pPr>
        <w:pStyle w:val="PargrafodaLista"/>
        <w:numPr>
          <w:ilvl w:val="0"/>
          <w:numId w:val="7"/>
        </w:numPr>
      </w:pPr>
      <w:proofErr w:type="gramStart"/>
      <w:r w:rsidRPr="00B67FDF">
        <w:t>Otimizar</w:t>
      </w:r>
      <w:proofErr w:type="gramEnd"/>
      <w:r w:rsidRPr="00B67FDF">
        <w:t xml:space="preserve"> a utilização de recursos e a redução de desperdícios e de poluição, através das seguintes medidas, dentre outras:</w:t>
      </w:r>
    </w:p>
    <w:p w:rsidR="00F67F6A" w:rsidRPr="00B67FDF" w:rsidRDefault="00F67F6A" w:rsidP="009017F5">
      <w:pPr>
        <w:pStyle w:val="PargrafodaLista"/>
        <w:numPr>
          <w:ilvl w:val="1"/>
          <w:numId w:val="7"/>
        </w:numPr>
      </w:pPr>
      <w:r w:rsidRPr="00B67FDF">
        <w:t>Racionalizar o uso de substâncias potencialmente tóxicas ou poluentes;</w:t>
      </w:r>
    </w:p>
    <w:p w:rsidR="00F67F6A" w:rsidRPr="00B67FDF" w:rsidRDefault="00F67F6A" w:rsidP="009017F5">
      <w:pPr>
        <w:pStyle w:val="PargrafodaLista"/>
        <w:numPr>
          <w:ilvl w:val="1"/>
          <w:numId w:val="7"/>
        </w:numPr>
      </w:pPr>
      <w:r w:rsidRPr="00B67FDF">
        <w:t>Substituir as substâncias tóxicas por outras atóxicas ou de menor toxicidade;</w:t>
      </w:r>
    </w:p>
    <w:p w:rsidR="00F67F6A" w:rsidRPr="00B67FDF" w:rsidRDefault="00F67F6A" w:rsidP="009017F5">
      <w:pPr>
        <w:pStyle w:val="PargrafodaLista"/>
        <w:numPr>
          <w:ilvl w:val="1"/>
          <w:numId w:val="7"/>
        </w:numPr>
      </w:pPr>
      <w:r w:rsidRPr="00B67FDF">
        <w:t>Usar produtos de limpeza e conservação de superfícies e objetos inanimados que obedeçam às classificações e especificações determinadas pela ANVISA;</w:t>
      </w:r>
    </w:p>
    <w:p w:rsidR="00F67F6A" w:rsidRPr="00B67FDF" w:rsidRDefault="00F67F6A" w:rsidP="009017F5">
      <w:pPr>
        <w:pStyle w:val="PargrafodaLista"/>
        <w:numPr>
          <w:ilvl w:val="1"/>
          <w:numId w:val="7"/>
        </w:numPr>
      </w:pPr>
      <w:r w:rsidRPr="00B67FDF">
        <w:t>Racionalizar o consumo de energia (especialmente elétrica) e adotar medidas para evitar o desperdício de água tratada;</w:t>
      </w:r>
    </w:p>
    <w:p w:rsidR="00F67F6A" w:rsidRPr="00B67FDF" w:rsidRDefault="00F67F6A" w:rsidP="009017F5">
      <w:pPr>
        <w:pStyle w:val="PargrafodaLista"/>
        <w:numPr>
          <w:ilvl w:val="0"/>
          <w:numId w:val="7"/>
        </w:numPr>
      </w:pPr>
      <w:r w:rsidRPr="00B67FDF">
        <w:t>Fornecer aos empregados os equipamentos de segurança que se fizerem necessários, para a execução de serviços;</w:t>
      </w:r>
    </w:p>
    <w:p w:rsidR="00F67F6A" w:rsidRPr="00B67FDF" w:rsidRDefault="00F67F6A" w:rsidP="009017F5">
      <w:pPr>
        <w:pStyle w:val="PargrafodaLista"/>
        <w:numPr>
          <w:ilvl w:val="0"/>
          <w:numId w:val="7"/>
        </w:numPr>
      </w:pPr>
      <w:r w:rsidRPr="00B67FDF">
        <w:t>Respeitar as Normas Brasileiras - NBR publicadas pela Associação Brasileira de Normas Técnicas sobre resíduos sólidos;</w:t>
      </w:r>
    </w:p>
    <w:p w:rsidR="00F67F6A" w:rsidRPr="00B67FDF" w:rsidRDefault="00F67F6A" w:rsidP="009017F5">
      <w:pPr>
        <w:pStyle w:val="PargrafodaLista"/>
        <w:numPr>
          <w:ilvl w:val="0"/>
          <w:numId w:val="7"/>
        </w:numPr>
      </w:pPr>
      <w:r w:rsidRPr="00B67FDF">
        <w:t>Desenvolver ou adotar manuais de procedimentos de descarte de materiais potencialmente poluidores, dentre os quais:</w:t>
      </w:r>
    </w:p>
    <w:p w:rsidR="00F67F6A" w:rsidRPr="00B67FDF" w:rsidRDefault="00F67F6A" w:rsidP="00D12A50">
      <w:pPr>
        <w:pStyle w:val="PargrafodaLista"/>
        <w:numPr>
          <w:ilvl w:val="1"/>
          <w:numId w:val="7"/>
        </w:numPr>
        <w:ind w:hanging="731"/>
      </w:pPr>
      <w:r w:rsidRPr="00B67FDF">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F67F6A" w:rsidRPr="00B67FDF" w:rsidRDefault="00F67F6A" w:rsidP="00D12A50">
      <w:pPr>
        <w:pStyle w:val="PargrafodaLista"/>
        <w:numPr>
          <w:ilvl w:val="1"/>
          <w:numId w:val="7"/>
        </w:numPr>
        <w:ind w:hanging="731"/>
      </w:pPr>
      <w:r w:rsidRPr="00B67FDF">
        <w:t>Lâmpadas fluorescentes e frascos de aerossóis em geral devem ser separados e acondicionados em recipientes adequados para destinação específica;</w:t>
      </w:r>
    </w:p>
    <w:p w:rsidR="00F67F6A" w:rsidRPr="00B67FDF" w:rsidRDefault="00F67F6A" w:rsidP="00D12A50">
      <w:pPr>
        <w:pStyle w:val="PargrafodaLista"/>
        <w:numPr>
          <w:ilvl w:val="1"/>
          <w:numId w:val="7"/>
        </w:numPr>
        <w:ind w:hanging="731"/>
      </w:pPr>
      <w:r w:rsidRPr="00B67FDF">
        <w:t>Pneumáticos inservíveis devem ser encaminhados aos fabricantes para destinação final, ambientalmente adequada, conforme disciplina normativa vigente.</w:t>
      </w:r>
    </w:p>
    <w:p w:rsidR="00F67F6A" w:rsidRPr="00B67FDF" w:rsidRDefault="00F67F6A" w:rsidP="00F67F6A"/>
    <w:p w:rsidR="00F67F6A" w:rsidRPr="00B67FDF" w:rsidRDefault="00F67F6A" w:rsidP="009017F5">
      <w:pPr>
        <w:pStyle w:val="Ttulo2"/>
        <w:numPr>
          <w:ilvl w:val="1"/>
          <w:numId w:val="24"/>
        </w:numPr>
        <w:ind w:left="0" w:firstLine="0"/>
      </w:pPr>
      <w:r w:rsidRPr="00B67FDF">
        <w:t xml:space="preserve">A CONTRATADA deverá observar as diretrizes, critérios e procedimentos para a gestão dos resíduos da construção civil estabelecidos na Lei nº 12.305, de </w:t>
      </w:r>
      <w:proofErr w:type="gramStart"/>
      <w:r w:rsidRPr="00B67FDF">
        <w:t>2010 – Política</w:t>
      </w:r>
      <w:proofErr w:type="gramEnd"/>
      <w:r w:rsidRPr="00B67FDF">
        <w:t xml:space="preserve"> Nacional de Resíduos Sólidos, Resolução nº 307, de 05/07/2002, do Conselho Nacional de Meio Ambiente – CONAMA, e Instrução Normativa SLTI/MPOG n° 1, de 19/01/2010, nos seguintes termos:</w:t>
      </w:r>
    </w:p>
    <w:p w:rsidR="00F67F6A" w:rsidRPr="007D38CC" w:rsidRDefault="00F67F6A" w:rsidP="00F67F6A">
      <w:pPr>
        <w:rPr>
          <w:color w:val="0070C0"/>
        </w:rPr>
      </w:pPr>
    </w:p>
    <w:p w:rsidR="00F67F6A" w:rsidRPr="00B67FDF" w:rsidRDefault="00F67F6A" w:rsidP="009017F5">
      <w:pPr>
        <w:pStyle w:val="PargrafodaLista"/>
        <w:numPr>
          <w:ilvl w:val="0"/>
          <w:numId w:val="11"/>
        </w:numPr>
      </w:pPr>
      <w:r w:rsidRPr="00B67FDF">
        <w:t>O gerenciamento dos resíduos originários da contratação deverá obedecer às diretrizes técnicas e procedimentos do Plano Municipal de Gestão de Resíduos da Construção Civil e do Plano de Gerenciamento de Resíduos da Construção Civil apresentado ao órgão competente, conforme o caso;</w:t>
      </w:r>
    </w:p>
    <w:p w:rsidR="00F67F6A" w:rsidRPr="00B67FDF" w:rsidRDefault="00F67F6A" w:rsidP="009017F5">
      <w:pPr>
        <w:pStyle w:val="PargrafodaLista"/>
        <w:numPr>
          <w:ilvl w:val="0"/>
          <w:numId w:val="11"/>
        </w:numPr>
      </w:pPr>
      <w:r w:rsidRPr="00B67FDF">
        <w:t>Nos termos dos artigos 3° e 10° da Resolução CONAMA n° 307, de 05/07/2002, a CONTRATADA deverá providenciar a destinação ambientalmente adequada dos resíduos da construção civil originários da contratação, obedecendo, no que couber, aos seguintes procedimentos:</w:t>
      </w:r>
    </w:p>
    <w:p w:rsidR="00F67F6A" w:rsidRPr="00B67FDF" w:rsidRDefault="00F67F6A" w:rsidP="00F67F6A"/>
    <w:p w:rsidR="00F67F6A" w:rsidRPr="00B67FDF" w:rsidRDefault="00F67F6A" w:rsidP="00F67F6A">
      <w:pPr>
        <w:ind w:left="1588" w:hanging="454"/>
      </w:pPr>
      <w:proofErr w:type="gramStart"/>
      <w:r w:rsidRPr="00B67FDF">
        <w:t>b.</w:t>
      </w:r>
      <w:proofErr w:type="gramEnd"/>
      <w:r w:rsidRPr="00B67FDF">
        <w:t xml:space="preserve">1) resíduos Classe A (reutilizáveis ou recicláveis como agregados): deverão ser reutilizados ou reciclados na forma de agregados ou encaminhados a aterro de resíduos Classe A de </w:t>
      </w:r>
      <w:proofErr w:type="spellStart"/>
      <w:r w:rsidRPr="00B67FDF">
        <w:t>reservação</w:t>
      </w:r>
      <w:proofErr w:type="spellEnd"/>
      <w:r w:rsidRPr="00B67FDF">
        <w:t xml:space="preserve"> de material para usos futuros;</w:t>
      </w:r>
    </w:p>
    <w:p w:rsidR="00F67F6A" w:rsidRPr="00B67FDF" w:rsidRDefault="00F67F6A" w:rsidP="00F67F6A">
      <w:pPr>
        <w:ind w:left="1588" w:hanging="454"/>
      </w:pPr>
      <w:proofErr w:type="gramStart"/>
      <w:r w:rsidRPr="00B67FDF">
        <w:t>b.</w:t>
      </w:r>
      <w:proofErr w:type="gramEnd"/>
      <w:r w:rsidRPr="00B67FDF">
        <w:t>2) resíduos Classe B (recicláveis para outras destinações): deverão ser reutilizados, reciclados ou encaminhados a áreas de armazenamento temporário, sendo dispostos de modo a permitir a sua utilização ou reciclagem futura;</w:t>
      </w:r>
    </w:p>
    <w:p w:rsidR="00F67F6A" w:rsidRPr="00B67FDF" w:rsidRDefault="00F67F6A" w:rsidP="00F67F6A">
      <w:pPr>
        <w:ind w:left="1588" w:hanging="454"/>
      </w:pPr>
      <w:proofErr w:type="gramStart"/>
      <w:r w:rsidRPr="00B67FDF">
        <w:t>b.</w:t>
      </w:r>
      <w:proofErr w:type="gramEnd"/>
      <w:r w:rsidRPr="00B67FDF">
        <w:t>3) resíduos Classe C (para os quais não foram desenvolvidas tecnologias ou aplicações economicamente viáveis que permitam a sua reciclagem/recuperação): deverão ser armazenados, transportados e destinados em conformidade com as normas técnicas específicas;</w:t>
      </w:r>
    </w:p>
    <w:p w:rsidR="00F67F6A" w:rsidRPr="00B67FDF" w:rsidRDefault="00F67F6A" w:rsidP="00F67F6A">
      <w:pPr>
        <w:ind w:left="1588" w:hanging="454"/>
      </w:pPr>
      <w:proofErr w:type="gramStart"/>
      <w:r w:rsidRPr="00B67FDF">
        <w:t>b.</w:t>
      </w:r>
      <w:proofErr w:type="gramEnd"/>
      <w:r w:rsidRPr="00B67FDF">
        <w:t>4) resíduos Classe D (perigosos, contaminados ou prejudiciais à saúde): deverão ser armazenados, transportados e destinados em conformidade com as normas técnicas específicas.</w:t>
      </w:r>
    </w:p>
    <w:p w:rsidR="00F67F6A" w:rsidRPr="006B5B93" w:rsidRDefault="00F67F6A" w:rsidP="00F67F6A"/>
    <w:p w:rsidR="00F67F6A" w:rsidRPr="00B67FDF" w:rsidRDefault="00F67F6A" w:rsidP="009017F5">
      <w:pPr>
        <w:pStyle w:val="PargrafodaLista"/>
        <w:numPr>
          <w:ilvl w:val="0"/>
          <w:numId w:val="11"/>
        </w:numPr>
      </w:pPr>
      <w:r w:rsidRPr="00B67FDF">
        <w:t xml:space="preserve">Em nenhuma hipótese a CONTRATADA poderá dispor os resíduos originários da contratação aterros de resíduos domiciliares, áreas de “bota fora”, encostas, corpos </w:t>
      </w:r>
      <w:proofErr w:type="spellStart"/>
      <w:proofErr w:type="gramStart"/>
      <w:r w:rsidRPr="00B67FDF">
        <w:t>d´água</w:t>
      </w:r>
      <w:proofErr w:type="spellEnd"/>
      <w:proofErr w:type="gramEnd"/>
      <w:r w:rsidRPr="00B67FDF">
        <w:t>, lotes vagos e áreas protegidas por Lei, bem como em áreas não licenciadas.</w:t>
      </w:r>
    </w:p>
    <w:p w:rsidR="00F67F6A" w:rsidRPr="00B67FDF" w:rsidRDefault="00F67F6A" w:rsidP="009017F5">
      <w:pPr>
        <w:pStyle w:val="PargrafodaLista"/>
        <w:numPr>
          <w:ilvl w:val="0"/>
          <w:numId w:val="11"/>
        </w:numPr>
      </w:pPr>
      <w:r w:rsidRPr="00B67FDF">
        <w:t>Para fins de fiscalização do fiel cumprimento do Plano de Gerenciamento de Resíduos da Construção Civil, conforme o caso, a CONTRATADA comprovará, sob pena de multa, que todos os resíduos removidos estão acompanhados de Controle de Transporte de Resíduos</w:t>
      </w:r>
      <w:r w:rsidR="0066201E">
        <w:t>. E</w:t>
      </w:r>
      <w:r w:rsidRPr="00B67FDF">
        <w:t xml:space="preserve">m conformidade com as normas da Agência Brasileira de Normas Técnicas - ABNT, ABNT NBR </w:t>
      </w:r>
      <w:proofErr w:type="spellStart"/>
      <w:r w:rsidRPr="00B67FDF">
        <w:t>nºs</w:t>
      </w:r>
      <w:proofErr w:type="spellEnd"/>
      <w:r w:rsidRPr="00B67FDF">
        <w:t xml:space="preserve"> 15.112, 15.113, 1</w:t>
      </w:r>
      <w:r w:rsidR="0066201E">
        <w:t>5.114, 15.115 e 15.116, de 2004.</w:t>
      </w:r>
    </w:p>
    <w:p w:rsidR="00F67F6A" w:rsidRPr="007D38CC" w:rsidRDefault="00F67F6A" w:rsidP="00F67F6A">
      <w:pPr>
        <w:rPr>
          <w:color w:val="0070C0"/>
        </w:rPr>
      </w:pPr>
    </w:p>
    <w:p w:rsidR="00F67F6A" w:rsidRPr="00B67FDF" w:rsidRDefault="00F67F6A" w:rsidP="009017F5">
      <w:pPr>
        <w:pStyle w:val="Ttulo2"/>
        <w:numPr>
          <w:ilvl w:val="1"/>
          <w:numId w:val="24"/>
        </w:numPr>
        <w:ind w:left="0" w:firstLine="0"/>
      </w:pPr>
      <w:r w:rsidRPr="00B67FDF">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F67F6A" w:rsidRPr="00B67FDF" w:rsidRDefault="00F67F6A" w:rsidP="00F67F6A"/>
    <w:p w:rsidR="00F67F6A" w:rsidRPr="00B67FDF" w:rsidRDefault="00F67F6A" w:rsidP="009017F5">
      <w:pPr>
        <w:pStyle w:val="PargrafodaLista"/>
        <w:numPr>
          <w:ilvl w:val="0"/>
          <w:numId w:val="8"/>
        </w:numPr>
      </w:pPr>
      <w:r w:rsidRPr="00B67FDF">
        <w:t xml:space="preserve">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w:t>
      </w:r>
      <w:proofErr w:type="gramStart"/>
      <w:r w:rsidRPr="00B67FDF">
        <w:t>incisos I e II, da Resolução</w:t>
      </w:r>
      <w:proofErr w:type="gramEnd"/>
      <w:r w:rsidRPr="00B67FDF">
        <w:t xml:space="preserve"> CONAMA n° 362, de 23/06/2005 e legislação correlata;</w:t>
      </w:r>
    </w:p>
    <w:p w:rsidR="00F67F6A" w:rsidRPr="00B67FDF" w:rsidRDefault="00F67F6A" w:rsidP="009017F5">
      <w:pPr>
        <w:pStyle w:val="PargrafodaLista"/>
        <w:numPr>
          <w:ilvl w:val="0"/>
          <w:numId w:val="8"/>
        </w:numPr>
      </w:pPr>
      <w:r w:rsidRPr="00B67FDF">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BF430C" w:rsidRPr="00B67FDF" w:rsidRDefault="00F67F6A" w:rsidP="009017F5">
      <w:pPr>
        <w:pStyle w:val="PargrafodaLista"/>
        <w:numPr>
          <w:ilvl w:val="0"/>
          <w:numId w:val="8"/>
        </w:numPr>
      </w:pPr>
      <w:r w:rsidRPr="00B67FDF">
        <w:t xml:space="preserve">Exclusivamente quando se tratar de óleo lubrificante usado ou contaminado não reciclável, </w:t>
      </w:r>
      <w:proofErr w:type="gramStart"/>
      <w:r w:rsidRPr="00B67FDF">
        <w:t>dar</w:t>
      </w:r>
      <w:proofErr w:type="gramEnd"/>
      <w:r w:rsidRPr="00B67FDF">
        <w:t>-lhe a destinação final ambientalmente adequada, devidamente autorizada pelo órgão ambiental competente, conforme artigo 18, inciso VII, da Resolução CONAMA n° 362, de 23/06/2005, e legislação correlata.</w:t>
      </w:r>
    </w:p>
    <w:p w:rsidR="002406C1" w:rsidRDefault="002406C1" w:rsidP="002406C1"/>
    <w:p w:rsidR="00842759" w:rsidRDefault="00842759" w:rsidP="009017F5">
      <w:pPr>
        <w:pStyle w:val="Ttulo2"/>
        <w:numPr>
          <w:ilvl w:val="1"/>
          <w:numId w:val="24"/>
        </w:numPr>
        <w:ind w:left="0" w:firstLine="0"/>
      </w:pPr>
      <w:r w:rsidRPr="00842759">
        <w:t>A CONTRATADA deverá comprovar a adoção de práticas de desfazimento sustentável ou reciclagem dos bens que forem inservíveis para o processo de reutilização.</w:t>
      </w:r>
    </w:p>
    <w:p w:rsidR="00D4330B" w:rsidRDefault="00D4330B" w:rsidP="002406C1"/>
    <w:p w:rsidR="00C06225" w:rsidRDefault="00C06225" w:rsidP="002406C1"/>
    <w:p w:rsidR="003A2D9B" w:rsidRPr="00EB3286" w:rsidRDefault="003A2D9B" w:rsidP="009017F5">
      <w:pPr>
        <w:pStyle w:val="Ttulo1"/>
        <w:numPr>
          <w:ilvl w:val="0"/>
          <w:numId w:val="24"/>
        </w:numPr>
      </w:pPr>
      <w:bookmarkStart w:id="32" w:name="_Toc18400285"/>
      <w:r w:rsidRPr="00EB3286">
        <w:t xml:space="preserve">OBRIGAÇÕES DA </w:t>
      </w:r>
      <w:r w:rsidR="00541F0C">
        <w:t>CONTRATADA</w:t>
      </w:r>
      <w:bookmarkEnd w:id="32"/>
    </w:p>
    <w:p w:rsidR="00116DEC" w:rsidRPr="00EB3286" w:rsidRDefault="00116DEC" w:rsidP="00116DEC">
      <w:pPr>
        <w:rPr>
          <w:szCs w:val="20"/>
        </w:rPr>
      </w:pPr>
    </w:p>
    <w:p w:rsidR="0012563E" w:rsidRPr="00EB3286" w:rsidRDefault="0012563E" w:rsidP="009017F5">
      <w:pPr>
        <w:pStyle w:val="Ttulo2"/>
        <w:numPr>
          <w:ilvl w:val="1"/>
          <w:numId w:val="24"/>
        </w:numPr>
        <w:ind w:left="0" w:firstLine="0"/>
      </w:pPr>
      <w:r w:rsidRPr="00EB3286">
        <w:t xml:space="preserve">A </w:t>
      </w:r>
      <w:r w:rsidR="00E80740">
        <w:t>CONTRATADA</w:t>
      </w:r>
      <w:r w:rsidRPr="00EB3286">
        <w:t xml:space="preserve"> deverá apresentar à </w:t>
      </w:r>
      <w:r w:rsidR="0066201E">
        <w:t>CODEVASF</w:t>
      </w:r>
      <w:r w:rsidRPr="00EB3286">
        <w:t xml:space="preserve"> antes do início dos trabalhos, os seguintes documentos:</w:t>
      </w:r>
    </w:p>
    <w:p w:rsidR="0085597C" w:rsidRPr="004E5F61" w:rsidRDefault="0085597C" w:rsidP="008A0315">
      <w:pPr>
        <w:rPr>
          <w:strike/>
          <w:color w:val="FF0000"/>
        </w:rPr>
      </w:pPr>
    </w:p>
    <w:p w:rsidR="0012563E" w:rsidRDefault="0012563E" w:rsidP="009017F5">
      <w:pPr>
        <w:pStyle w:val="PargrafodaLista"/>
        <w:numPr>
          <w:ilvl w:val="0"/>
          <w:numId w:val="10"/>
        </w:numPr>
      </w:pPr>
      <w:r w:rsidRPr="00EB3286">
        <w:t>Cronograma físico-financeiro, detalhado e adequado ao Plano de T</w:t>
      </w:r>
      <w:r w:rsidR="003056D4">
        <w:t>rabalho</w:t>
      </w:r>
      <w:r w:rsidRPr="00EB3286">
        <w:t>.</w:t>
      </w:r>
    </w:p>
    <w:p w:rsidR="006D6A12" w:rsidRPr="003056D4" w:rsidRDefault="006D6A12" w:rsidP="009017F5">
      <w:pPr>
        <w:pStyle w:val="PargrafodaLista"/>
        <w:numPr>
          <w:ilvl w:val="0"/>
          <w:numId w:val="10"/>
        </w:numPr>
      </w:pPr>
      <w:r w:rsidRPr="003056D4">
        <w:t>Relação dos serviços especializados que serão subcontratados, considerando as condições estabelecidas neste Termo de Referência.</w:t>
      </w:r>
    </w:p>
    <w:p w:rsidR="001C2E3A" w:rsidRPr="00E74FE2" w:rsidRDefault="001C2E3A" w:rsidP="009017F5">
      <w:pPr>
        <w:pStyle w:val="PargrafodaLista"/>
        <w:numPr>
          <w:ilvl w:val="0"/>
          <w:numId w:val="10"/>
        </w:numPr>
      </w:pPr>
      <w:r>
        <w:t>As Anotações de Responsabilidade Técnica – ART</w:t>
      </w:r>
      <w:r w:rsidR="0066201E">
        <w:t xml:space="preserve"> ou equivalentes</w:t>
      </w:r>
      <w:r>
        <w:t xml:space="preserve"> referentes ao objeto do </w:t>
      </w:r>
      <w:r w:rsidRPr="00BF720C">
        <w:t>contrato e especialidades pertinentes,</w:t>
      </w:r>
      <w:r>
        <w:t xml:space="preserve"> nos termos da </w:t>
      </w:r>
      <w:r w:rsidRPr="00E74FE2">
        <w:t>Lei nº. 6.496/77, juntamente com o registro dos responsáveis técnicos pelos serviços objeto desta licitação, conforme Resolução n° 317 de 31/10/86.</w:t>
      </w:r>
    </w:p>
    <w:p w:rsidR="001C2E3A" w:rsidRDefault="001C2E3A" w:rsidP="001C2E3A"/>
    <w:p w:rsidR="00E22C3C" w:rsidRPr="007231D2" w:rsidRDefault="00E22C3C" w:rsidP="009017F5">
      <w:pPr>
        <w:pStyle w:val="Ttulo2"/>
        <w:numPr>
          <w:ilvl w:val="1"/>
          <w:numId w:val="24"/>
        </w:numPr>
        <w:ind w:left="0" w:firstLine="0"/>
      </w:pPr>
      <w:r w:rsidRPr="007231D2">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754BEB" w:rsidRPr="007231D2" w:rsidRDefault="00754BEB" w:rsidP="00754BEB"/>
    <w:p w:rsidR="00754BEB" w:rsidRPr="007231D2" w:rsidRDefault="00754BEB" w:rsidP="009017F5">
      <w:pPr>
        <w:pStyle w:val="Ttulo2"/>
        <w:numPr>
          <w:ilvl w:val="1"/>
          <w:numId w:val="24"/>
        </w:numPr>
        <w:ind w:left="0" w:firstLine="0"/>
      </w:pPr>
      <w:r w:rsidRPr="007231D2">
        <w:t>Apresentar-se sempre que solicitada, através do seu Responsável Técnico e/ou Coordenador dos trabalhos, nos escritórios da CONTRATANTE em Brasília/DF ou Superintendências Regionais.</w:t>
      </w:r>
    </w:p>
    <w:p w:rsidR="00906BB4" w:rsidRPr="007231D2" w:rsidRDefault="00906BB4" w:rsidP="00906BB4"/>
    <w:p w:rsidR="00906BB4" w:rsidRPr="007231D2" w:rsidRDefault="00906BB4" w:rsidP="009017F5">
      <w:pPr>
        <w:pStyle w:val="Ttulo2"/>
        <w:numPr>
          <w:ilvl w:val="1"/>
          <w:numId w:val="24"/>
        </w:numPr>
        <w:ind w:left="0" w:firstLine="0"/>
      </w:pPr>
      <w:r w:rsidRPr="007231D2">
        <w:t xml:space="preserve">Acatar as orientações da </w:t>
      </w:r>
      <w:r w:rsidR="0066201E">
        <w:t>CODEVASF</w:t>
      </w:r>
      <w:r w:rsidRPr="007231D2">
        <w:t>, notadamente quanto ao cumprimento das Normas Internas, de Segurança e Medicina do Trabalho.</w:t>
      </w:r>
    </w:p>
    <w:p w:rsidR="00906BB4" w:rsidRPr="007231D2" w:rsidRDefault="00906BB4" w:rsidP="00906BB4"/>
    <w:p w:rsidR="00906BB4" w:rsidRPr="007231D2" w:rsidRDefault="00906BB4" w:rsidP="009017F5">
      <w:pPr>
        <w:pStyle w:val="Ttulo2"/>
        <w:numPr>
          <w:ilvl w:val="1"/>
          <w:numId w:val="24"/>
        </w:numPr>
        <w:ind w:left="0" w:firstLine="0"/>
      </w:pPr>
      <w:r w:rsidRPr="007231D2">
        <w:t>Assumir a inteira responsabilidade pelo transporte interno e externo do pessoal e dos insumos até o local dos serviços e fornecimentos.</w:t>
      </w:r>
    </w:p>
    <w:p w:rsidR="00906BB4" w:rsidRPr="007231D2" w:rsidRDefault="00906BB4" w:rsidP="00906BB4"/>
    <w:p w:rsidR="00906BB4" w:rsidRPr="007231D2" w:rsidRDefault="00906BB4" w:rsidP="009017F5">
      <w:pPr>
        <w:pStyle w:val="Ttulo2"/>
        <w:numPr>
          <w:ilvl w:val="1"/>
          <w:numId w:val="24"/>
        </w:numPr>
        <w:ind w:left="0" w:firstLine="0"/>
      </w:pPr>
      <w:r w:rsidRPr="007231D2">
        <w:t>Utilização de pessoal experiente, bem como de equipamentos, ferramentas e instrumentos adequados para a boa execução d</w:t>
      </w:r>
      <w:r w:rsidR="008830C2">
        <w:t>os</w:t>
      </w:r>
      <w:r w:rsidRPr="007231D2">
        <w:rPr>
          <w:szCs w:val="20"/>
        </w:rPr>
        <w:t xml:space="preserve"> serviços</w:t>
      </w:r>
      <w:r w:rsidRPr="007231D2">
        <w:t>.</w:t>
      </w:r>
    </w:p>
    <w:p w:rsidR="00906BB4" w:rsidRPr="007231D2" w:rsidRDefault="00906BB4" w:rsidP="00906BB4"/>
    <w:p w:rsidR="00890F44" w:rsidRPr="007231D2" w:rsidRDefault="00890F44" w:rsidP="009017F5">
      <w:pPr>
        <w:pStyle w:val="Ttulo2"/>
        <w:numPr>
          <w:ilvl w:val="1"/>
          <w:numId w:val="24"/>
        </w:numPr>
        <w:ind w:left="0" w:firstLine="0"/>
      </w:pPr>
      <w:r w:rsidRPr="007231D2">
        <w:t>Colocar tantas frentes de serviços quantos forem necessários (mediante anuência prévia da fiscalização), para possibilitar a perfeita execução d</w:t>
      </w:r>
      <w:r w:rsidR="008830C2">
        <w:t>os</w:t>
      </w:r>
      <w:r w:rsidRPr="007231D2">
        <w:rPr>
          <w:szCs w:val="20"/>
        </w:rPr>
        <w:t xml:space="preserve"> serviços de engenharia</w:t>
      </w:r>
      <w:r w:rsidRPr="007231D2">
        <w:t xml:space="preserve"> dentro do prazo contratual.</w:t>
      </w:r>
    </w:p>
    <w:p w:rsidR="00906BB4" w:rsidRPr="007231D2" w:rsidRDefault="00906BB4" w:rsidP="00906BB4"/>
    <w:p w:rsidR="00890F44" w:rsidRPr="007231D2" w:rsidRDefault="00890F44" w:rsidP="009017F5">
      <w:pPr>
        <w:pStyle w:val="Ttulo2"/>
        <w:numPr>
          <w:ilvl w:val="1"/>
          <w:numId w:val="24"/>
        </w:numPr>
        <w:ind w:left="0" w:firstLine="0"/>
      </w:pPr>
      <w:r w:rsidRPr="007231D2">
        <w:t xml:space="preserve">Responsabilizar-se pelo fornecimento de toda a mão-de-obra, sem qualquer vinculação empregatícia com a </w:t>
      </w:r>
      <w:r w:rsidR="0066201E">
        <w:t>CODEVASF</w:t>
      </w:r>
      <w:r w:rsidRPr="007231D2">
        <w:t>, bem como todo o material necessário à execução dos serviços objeto do contrato.</w:t>
      </w:r>
    </w:p>
    <w:p w:rsidR="00E22C3C" w:rsidRPr="007231D2" w:rsidRDefault="00E22C3C" w:rsidP="001C2E3A"/>
    <w:p w:rsidR="001B3A32" w:rsidRPr="007231D2" w:rsidRDefault="001B3A32" w:rsidP="009017F5">
      <w:pPr>
        <w:pStyle w:val="Ttulo2"/>
        <w:numPr>
          <w:ilvl w:val="1"/>
          <w:numId w:val="24"/>
        </w:numPr>
        <w:ind w:left="0" w:firstLine="0"/>
      </w:pPr>
      <w:r w:rsidRPr="007231D2">
        <w:t xml:space="preserve">Responsabilizar-se por todos os ônus e obrigações concernentes à legislação tributária, trabalhista, securitária, previdenciária, e </w:t>
      </w:r>
      <w:r w:rsidRPr="007231D2">
        <w:rPr>
          <w:u w:val="single"/>
        </w:rPr>
        <w:t>quaisquer encargos que incidam sobre os materiais e equipamentos</w:t>
      </w:r>
      <w:r w:rsidRPr="007231D2">
        <w:t>, os quais, exclusivamente, correrão por sua conta, inclusive o registro do serviço contratado junto ao CREA</w:t>
      </w:r>
      <w:r w:rsidR="008830C2">
        <w:t xml:space="preserve"> ou CAU</w:t>
      </w:r>
      <w:r w:rsidRPr="007231D2">
        <w:t xml:space="preserve"> do local de execução d</w:t>
      </w:r>
      <w:r w:rsidR="008830C2">
        <w:t>o</w:t>
      </w:r>
      <w:r w:rsidRPr="007231D2">
        <w:t>s serviços de engenharia.</w:t>
      </w:r>
    </w:p>
    <w:p w:rsidR="001B3A32" w:rsidRPr="007231D2" w:rsidRDefault="001B3A32" w:rsidP="001C2E3A"/>
    <w:p w:rsidR="001B3A32" w:rsidRPr="007231D2" w:rsidRDefault="001B3A32" w:rsidP="009017F5">
      <w:pPr>
        <w:pStyle w:val="Ttulo2"/>
        <w:numPr>
          <w:ilvl w:val="1"/>
          <w:numId w:val="24"/>
        </w:numPr>
        <w:ind w:left="0" w:firstLine="0"/>
      </w:pPr>
      <w:r w:rsidRPr="007231D2">
        <w:t>A CONTRATADA deve assegurar e facilitar o acesso da Fiscalização, aos serviços e a todos os elementos que forem necessários ao desempenho de sua missão.</w:t>
      </w:r>
    </w:p>
    <w:p w:rsidR="001B3A32" w:rsidRPr="007231D2" w:rsidRDefault="001B3A32" w:rsidP="001C2E3A"/>
    <w:p w:rsidR="001B3A32" w:rsidRPr="007231D2" w:rsidRDefault="001B3A32" w:rsidP="009017F5">
      <w:pPr>
        <w:pStyle w:val="Ttulo2"/>
        <w:numPr>
          <w:ilvl w:val="1"/>
          <w:numId w:val="24"/>
        </w:numPr>
        <w:ind w:left="0" w:firstLine="0"/>
      </w:pPr>
      <w:r w:rsidRPr="007231D2">
        <w:t xml:space="preserve">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w:t>
      </w:r>
      <w:r w:rsidR="0066201E">
        <w:t>CODEVASF</w:t>
      </w:r>
      <w:r w:rsidRPr="007231D2">
        <w:t>.</w:t>
      </w:r>
    </w:p>
    <w:p w:rsidR="001B3A32" w:rsidRPr="007231D2" w:rsidRDefault="001B3A32" w:rsidP="001C2E3A"/>
    <w:p w:rsidR="00A86C54" w:rsidRPr="007231D2" w:rsidRDefault="00A86C54" w:rsidP="009017F5">
      <w:pPr>
        <w:pStyle w:val="Ttulo2"/>
        <w:numPr>
          <w:ilvl w:val="1"/>
          <w:numId w:val="24"/>
        </w:numPr>
        <w:ind w:left="0" w:firstLine="0"/>
      </w:pPr>
      <w:r w:rsidRPr="007231D2">
        <w:t>A CONTRATADA deverá conceder livre acesso aos seus documentos e registros contábeis, referentes ao objeto da licitação, para os servidores ou empregados do órgão ou entidade CONTRATANTE e dos órgãos de controle interno e externo.</w:t>
      </w:r>
    </w:p>
    <w:p w:rsidR="00A86C54" w:rsidRPr="007231D2" w:rsidRDefault="00A86C54" w:rsidP="001C2E3A"/>
    <w:p w:rsidR="00A86C54" w:rsidRPr="007231D2" w:rsidRDefault="00A86C54" w:rsidP="009017F5">
      <w:pPr>
        <w:pStyle w:val="Ttulo2"/>
        <w:numPr>
          <w:ilvl w:val="1"/>
          <w:numId w:val="24"/>
        </w:numPr>
        <w:ind w:left="0" w:firstLine="0"/>
      </w:pPr>
      <w:r w:rsidRPr="007231D2">
        <w:t xml:space="preserve">Caso a CONTRATADA seja registrada em região diferente daquela em que serão executados os serviços objeto deste TR, deverá apresentar </w:t>
      </w:r>
      <w:proofErr w:type="gramStart"/>
      <w:r w:rsidRPr="007231D2">
        <w:t>visto,</w:t>
      </w:r>
      <w:proofErr w:type="gramEnd"/>
      <w:r w:rsidRPr="007231D2">
        <w:t xml:space="preserve"> novo registro ou dispensa de registro, em conformidade com disposto nos </w:t>
      </w:r>
      <w:proofErr w:type="spellStart"/>
      <w:r w:rsidRPr="007231D2">
        <w:t>arts</w:t>
      </w:r>
      <w:proofErr w:type="spellEnd"/>
      <w:r w:rsidRPr="007231D2">
        <w:t xml:space="preserve">. </w:t>
      </w:r>
      <w:proofErr w:type="gramStart"/>
      <w:r w:rsidRPr="007231D2">
        <w:t>5º, 6º e 7º</w:t>
      </w:r>
      <w:proofErr w:type="gramEnd"/>
      <w:r w:rsidRPr="007231D2">
        <w:t xml:space="preserve"> da Resolução CONFEA nº 336 de 27 de outubro de 1989.</w:t>
      </w:r>
    </w:p>
    <w:p w:rsidR="00A86C54" w:rsidRPr="007231D2" w:rsidRDefault="00A86C54" w:rsidP="001C2E3A"/>
    <w:p w:rsidR="00A86C54" w:rsidRPr="007231D2" w:rsidRDefault="00A86C54" w:rsidP="009017F5">
      <w:pPr>
        <w:pStyle w:val="Ttulo2"/>
        <w:numPr>
          <w:ilvl w:val="1"/>
          <w:numId w:val="24"/>
        </w:numPr>
        <w:ind w:left="0" w:firstLine="0"/>
      </w:pPr>
      <w:r w:rsidRPr="007231D2">
        <w:t xml:space="preserve">A CONTRATADA será responsável por quaisquer acidentes de trabalho referentes </w:t>
      </w:r>
      <w:proofErr w:type="gramStart"/>
      <w:r w:rsidRPr="007231D2">
        <w:t>a seu</w:t>
      </w:r>
      <w:proofErr w:type="gramEnd"/>
      <w:r w:rsidRPr="007231D2">
        <w:t xml:space="preserve"> pessoal que venham a ocorrer por conta do serviço contratado e/ou por ela causado a terceiros.</w:t>
      </w:r>
    </w:p>
    <w:p w:rsidR="00A86C54" w:rsidRPr="007231D2" w:rsidRDefault="00A86C54" w:rsidP="001C2E3A"/>
    <w:p w:rsidR="00551DC1" w:rsidRPr="007231D2" w:rsidRDefault="00551DC1" w:rsidP="009017F5">
      <w:pPr>
        <w:pStyle w:val="Ttulo2"/>
        <w:numPr>
          <w:ilvl w:val="1"/>
          <w:numId w:val="24"/>
        </w:numPr>
        <w:ind w:left="0" w:firstLine="0"/>
        <w:rPr>
          <w:szCs w:val="20"/>
        </w:rPr>
      </w:pPr>
      <w:r w:rsidRPr="007231D2">
        <w:t>Desfazer e corrigir os serviços rejeitados pela Fiscalização dentro do prazo estabelecido pela mesma, arcando com todas as despesas necessárias.</w:t>
      </w:r>
    </w:p>
    <w:p w:rsidR="00A86C54" w:rsidRPr="007231D2" w:rsidRDefault="00A86C54" w:rsidP="001C2E3A"/>
    <w:p w:rsidR="00754BEB" w:rsidRPr="007231D2" w:rsidRDefault="00754BEB" w:rsidP="009017F5">
      <w:pPr>
        <w:pStyle w:val="Ttulo2"/>
        <w:numPr>
          <w:ilvl w:val="1"/>
          <w:numId w:val="24"/>
        </w:numPr>
        <w:ind w:left="0" w:firstLine="0"/>
      </w:pPr>
      <w:r w:rsidRPr="007231D2">
        <w:t>Caberá à CONTRATADA obter e arcar com os gastos de todas as licenças e franquias, pagar encargos sociais e impostos municipais, estaduais e federais que incidirem sobre a execução dos serviços.</w:t>
      </w:r>
    </w:p>
    <w:p w:rsidR="00A86C54" w:rsidRDefault="00A86C54" w:rsidP="001C2E3A"/>
    <w:p w:rsidR="00CC76C6" w:rsidRPr="00B67FDF" w:rsidRDefault="00754BEB" w:rsidP="009017F5">
      <w:pPr>
        <w:pStyle w:val="Ttulo2"/>
        <w:numPr>
          <w:ilvl w:val="1"/>
          <w:numId w:val="24"/>
        </w:numPr>
        <w:ind w:left="0" w:firstLine="0"/>
        <w:rPr>
          <w:b/>
          <w:u w:val="single"/>
        </w:rPr>
      </w:pPr>
      <w:r w:rsidRPr="00B67FDF">
        <w:rPr>
          <w:b/>
          <w:u w:val="single"/>
        </w:rPr>
        <w:t xml:space="preserve">Assumir toda a responsabilidade pela execução dos serviços contratados </w:t>
      </w:r>
      <w:proofErr w:type="gramStart"/>
      <w:r w:rsidRPr="00B67FDF">
        <w:rPr>
          <w:b/>
          <w:u w:val="single"/>
        </w:rPr>
        <w:t>perante a</w:t>
      </w:r>
      <w:proofErr w:type="gramEnd"/>
      <w:r w:rsidRPr="00B67FDF">
        <w:rPr>
          <w:b/>
          <w:u w:val="single"/>
        </w:rPr>
        <w:t xml:space="preserve"> </w:t>
      </w:r>
      <w:r w:rsidR="0066201E" w:rsidRPr="0066201E">
        <w:rPr>
          <w:b/>
          <w:u w:val="single"/>
        </w:rPr>
        <w:t>CODEVASF</w:t>
      </w:r>
      <w:r w:rsidRPr="00B67FDF">
        <w:rPr>
          <w:b/>
          <w:u w:val="single"/>
        </w:rPr>
        <w:t xml:space="preserve"> e terceiros, na forma da legislação em vigor, bem como por danos resultantes do mau procedimento, dolo ou culpa de empregados ou prepostos seus, e ainda, pelo fiel cumprimento das leis e normas vigentes, mantendo </w:t>
      </w:r>
      <w:r w:rsidRPr="0066201E">
        <w:rPr>
          <w:b/>
          <w:u w:val="single"/>
        </w:rPr>
        <w:t xml:space="preserve">a </w:t>
      </w:r>
      <w:r w:rsidR="0066201E" w:rsidRPr="0066201E">
        <w:rPr>
          <w:b/>
          <w:u w:val="single"/>
        </w:rPr>
        <w:t>CODEVASF</w:t>
      </w:r>
      <w:r w:rsidRPr="00B67FDF">
        <w:rPr>
          <w:b/>
          <w:u w:val="single"/>
        </w:rPr>
        <w:t xml:space="preserve"> isenta de quaisquer penalidades e responsabilidades de qualquer natureza pela </w:t>
      </w:r>
      <w:proofErr w:type="spellStart"/>
      <w:r w:rsidRPr="00B67FDF">
        <w:rPr>
          <w:b/>
          <w:u w:val="single"/>
        </w:rPr>
        <w:t>infrigência</w:t>
      </w:r>
      <w:proofErr w:type="spellEnd"/>
      <w:r w:rsidRPr="00B67FDF">
        <w:rPr>
          <w:b/>
          <w:u w:val="single"/>
        </w:rPr>
        <w:t xml:space="preserve"> da legislação em vigor, por parte da CONTRATADA.</w:t>
      </w:r>
    </w:p>
    <w:p w:rsidR="00CC76C6" w:rsidRPr="00B67FDF" w:rsidRDefault="00CC76C6" w:rsidP="00CC76C6"/>
    <w:p w:rsidR="00CC76C6" w:rsidRPr="00B67FDF" w:rsidRDefault="00CC76C6" w:rsidP="009017F5">
      <w:pPr>
        <w:pStyle w:val="Ttulo2"/>
        <w:numPr>
          <w:ilvl w:val="1"/>
          <w:numId w:val="24"/>
        </w:numPr>
        <w:ind w:left="0" w:firstLine="0"/>
        <w:rPr>
          <w:b/>
          <w:u w:val="single"/>
        </w:rPr>
      </w:pPr>
      <w:r w:rsidRPr="00B67FDF">
        <w:rPr>
          <w:b/>
          <w:u w:val="single"/>
        </w:rPr>
        <w:t xml:space="preserve">A CONTRATADA será responsável, </w:t>
      </w:r>
      <w:proofErr w:type="gramStart"/>
      <w:r w:rsidRPr="00B67FDF">
        <w:rPr>
          <w:b/>
          <w:u w:val="single"/>
        </w:rPr>
        <w:t>perante a</w:t>
      </w:r>
      <w:proofErr w:type="gramEnd"/>
      <w:r w:rsidRPr="00B67FDF">
        <w:rPr>
          <w:b/>
          <w:u w:val="single"/>
        </w:rPr>
        <w:t xml:space="preserve"> </w:t>
      </w:r>
      <w:r w:rsidR="0066201E" w:rsidRPr="0066201E">
        <w:rPr>
          <w:b/>
          <w:u w:val="single"/>
        </w:rPr>
        <w:t>CODEVASF</w:t>
      </w:r>
      <w:r w:rsidRPr="00B67FDF">
        <w:rPr>
          <w:b/>
          <w:u w:val="single"/>
        </w:rPr>
        <w:t>, pela qualidade do total dos serviços, bem como pela qualidade dos relatórios/documentos gerados, no que diz respeito à observância de normas técnicas e códigos profissionais.</w:t>
      </w:r>
    </w:p>
    <w:p w:rsidR="00CC76C6" w:rsidRPr="00B67FDF" w:rsidRDefault="00CC76C6" w:rsidP="00CC76C6">
      <w:pPr>
        <w:rPr>
          <w:b/>
          <w:u w:val="single"/>
        </w:rPr>
      </w:pPr>
    </w:p>
    <w:p w:rsidR="00CC76C6" w:rsidRPr="00B67FDF" w:rsidRDefault="00CC76C6" w:rsidP="009017F5">
      <w:pPr>
        <w:pStyle w:val="Ttulo2"/>
        <w:numPr>
          <w:ilvl w:val="1"/>
          <w:numId w:val="24"/>
        </w:numPr>
        <w:ind w:left="0" w:firstLine="0"/>
        <w:rPr>
          <w:b/>
          <w:u w:val="single"/>
        </w:rPr>
      </w:pPr>
      <w:r w:rsidRPr="00B67FDF">
        <w:rPr>
          <w:b/>
          <w:u w:val="single"/>
        </w:rP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A86C54" w:rsidRDefault="00A86C54" w:rsidP="001C2E3A"/>
    <w:p w:rsidR="00993AD4" w:rsidRPr="007231D2" w:rsidRDefault="00993AD4" w:rsidP="009017F5">
      <w:pPr>
        <w:pStyle w:val="Ttulo2"/>
        <w:numPr>
          <w:ilvl w:val="1"/>
          <w:numId w:val="24"/>
        </w:numPr>
        <w:ind w:left="0" w:firstLine="0"/>
        <w:rPr>
          <w:szCs w:val="20"/>
        </w:rPr>
      </w:pPr>
      <w:r w:rsidRPr="007231D2">
        <w:rPr>
          <w:szCs w:val="20"/>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1B3A32" w:rsidRPr="007231D2" w:rsidRDefault="001B3A32" w:rsidP="001C2E3A"/>
    <w:p w:rsidR="00993AD4" w:rsidRPr="007231D2" w:rsidRDefault="00993AD4" w:rsidP="009017F5">
      <w:pPr>
        <w:pStyle w:val="Ttulo2"/>
        <w:numPr>
          <w:ilvl w:val="1"/>
          <w:numId w:val="24"/>
        </w:numPr>
        <w:ind w:left="0" w:firstLine="0"/>
      </w:pPr>
      <w:r w:rsidRPr="007231D2">
        <w:t>A CONTRATADA entende e aceita que é condicionante para na execução d</w:t>
      </w:r>
      <w:r w:rsidR="00E636D8">
        <w:t>o</w:t>
      </w:r>
      <w:r w:rsidRPr="007231D2">
        <w:t xml:space="preserve">s </w:t>
      </w:r>
      <w:r w:rsidRPr="007231D2">
        <w:rPr>
          <w:szCs w:val="20"/>
        </w:rPr>
        <w:t>serviços de engenharia</w:t>
      </w:r>
      <w:r w:rsidR="00E636D8">
        <w:rPr>
          <w:szCs w:val="20"/>
        </w:rPr>
        <w:t>,</w:t>
      </w:r>
      <w:r w:rsidRPr="007231D2">
        <w:t xml:space="preserve"> objeto da presente licitação</w:t>
      </w:r>
      <w:r w:rsidR="00E636D8">
        <w:t>,</w:t>
      </w:r>
      <w:r w:rsidRPr="007231D2">
        <w:t xml:space="preserve"> atender ainda às seguintes normas complementares:</w:t>
      </w:r>
    </w:p>
    <w:p w:rsidR="00993AD4" w:rsidRPr="007231D2" w:rsidRDefault="00993AD4" w:rsidP="00993AD4"/>
    <w:p w:rsidR="00993AD4" w:rsidRPr="007231D2" w:rsidRDefault="00993AD4" w:rsidP="009017F5">
      <w:pPr>
        <w:pStyle w:val="PargrafodaLista"/>
        <w:numPr>
          <w:ilvl w:val="0"/>
          <w:numId w:val="9"/>
        </w:numPr>
      </w:pPr>
      <w:r w:rsidRPr="007231D2">
        <w:t xml:space="preserve">Códigos, leis, decretos, portarias e normas federais, estaduais e municipais, inclusive normas de concessionárias de serviços públicos, e as normas técnicas da </w:t>
      </w:r>
      <w:r w:rsidR="009E24E7" w:rsidRPr="009E24E7">
        <w:t>CODEVASF</w:t>
      </w:r>
      <w:r w:rsidRPr="007231D2">
        <w:t>.</w:t>
      </w:r>
    </w:p>
    <w:p w:rsidR="00993AD4" w:rsidRDefault="00993AD4" w:rsidP="009017F5">
      <w:pPr>
        <w:pStyle w:val="PargrafodaLista"/>
        <w:numPr>
          <w:ilvl w:val="0"/>
          <w:numId w:val="9"/>
        </w:numPr>
      </w:pPr>
      <w:r w:rsidRPr="007231D2">
        <w:t>Normas técnicas da ABNT e do INMETRO, principalmente no que diz respeito aos requisitos mínimos de qualidade, utilidade, resistência e segurança.</w:t>
      </w:r>
    </w:p>
    <w:p w:rsidR="00E636D8" w:rsidRPr="007231D2" w:rsidRDefault="00E636D8" w:rsidP="009017F5">
      <w:pPr>
        <w:pStyle w:val="PargrafodaLista"/>
        <w:numPr>
          <w:ilvl w:val="0"/>
          <w:numId w:val="9"/>
        </w:numPr>
      </w:pPr>
      <w:r>
        <w:t>Atendimento a todas as condicionantes ambientais das licenças, quando couber.</w:t>
      </w:r>
    </w:p>
    <w:p w:rsidR="00993AD4" w:rsidRDefault="00993AD4" w:rsidP="001C2E3A"/>
    <w:p w:rsidR="00993AD4" w:rsidRDefault="00993AD4" w:rsidP="009017F5">
      <w:pPr>
        <w:pStyle w:val="Ttulo2"/>
        <w:numPr>
          <w:ilvl w:val="1"/>
          <w:numId w:val="24"/>
        </w:numPr>
        <w:ind w:left="0" w:firstLine="0"/>
      </w:pPr>
      <w:r>
        <w:t xml:space="preserve">Manter em local visível no canteiro </w:t>
      </w:r>
      <w:r w:rsidR="004F3B3C">
        <w:t>de obras</w:t>
      </w:r>
      <w:r w:rsidR="0061357F">
        <w:rPr>
          <w:szCs w:val="20"/>
        </w:rPr>
        <w:t xml:space="preserve">, se </w:t>
      </w:r>
      <w:proofErr w:type="spellStart"/>
      <w:r w:rsidR="000B198C">
        <w:rPr>
          <w:szCs w:val="20"/>
        </w:rPr>
        <w:t>houver</w:t>
      </w:r>
      <w:r>
        <w:t>cópia</w:t>
      </w:r>
      <w:proofErr w:type="spellEnd"/>
      <w:r>
        <w:t xml:space="preserve"> da </w:t>
      </w:r>
      <w:r w:rsidR="00507651">
        <w:t>Anuência</w:t>
      </w:r>
      <w:r>
        <w:t xml:space="preserve"> Ambiental, caso contrário, cópia da legislação de dispensa do referido documento.</w:t>
      </w:r>
    </w:p>
    <w:p w:rsidR="00993AD4" w:rsidRPr="00437358" w:rsidRDefault="00993AD4" w:rsidP="00993AD4"/>
    <w:p w:rsidR="00993AD4" w:rsidRPr="00EB3286" w:rsidRDefault="00993AD4" w:rsidP="009017F5">
      <w:pPr>
        <w:pStyle w:val="Ttulo2"/>
        <w:numPr>
          <w:ilvl w:val="1"/>
          <w:numId w:val="24"/>
        </w:numPr>
        <w:ind w:left="0" w:firstLine="0"/>
      </w:pPr>
      <w:r w:rsidRPr="00EB3286">
        <w:t>Atendimento às condicionantes ambientais necessárias à obtenção das Licenças do Empreendimento, emitidas pelo órgão competente,</w:t>
      </w:r>
      <w:r>
        <w:t xml:space="preserve"> relativas à execução d</w:t>
      </w:r>
      <w:r w:rsidR="00E636D8">
        <w:t>o</w:t>
      </w:r>
      <w:r>
        <w:t xml:space="preserve">s </w:t>
      </w:r>
      <w:r w:rsidR="00E636D8">
        <w:t>serviços, quando couber</w:t>
      </w:r>
      <w:r>
        <w:t>.</w:t>
      </w:r>
    </w:p>
    <w:p w:rsidR="00993AD4" w:rsidRPr="00F778FE" w:rsidRDefault="00993AD4" w:rsidP="00D06978"/>
    <w:p w:rsidR="00993AD4" w:rsidRDefault="00993AD4" w:rsidP="009017F5">
      <w:pPr>
        <w:pStyle w:val="Ttulo3"/>
        <w:numPr>
          <w:ilvl w:val="2"/>
          <w:numId w:val="24"/>
        </w:numPr>
        <w:tabs>
          <w:tab w:val="left" w:pos="851"/>
        </w:tabs>
        <w:ind w:left="0" w:firstLine="0"/>
      </w:pPr>
      <w:r>
        <w:t>Realizar e executar o Plano de Recuperação Ambiental de Áreas Degradadas (PRAD) das áreas onde forem realizadas intervenções em função d</w:t>
      </w:r>
      <w:r w:rsidR="00E636D8">
        <w:t>os serviços, quando couber</w:t>
      </w:r>
      <w:r>
        <w:t>.</w:t>
      </w:r>
    </w:p>
    <w:p w:rsidR="00993AD4" w:rsidRDefault="00993AD4" w:rsidP="00993AD4"/>
    <w:p w:rsidR="00993AD4" w:rsidRPr="007231D2" w:rsidRDefault="00993AD4" w:rsidP="009017F5">
      <w:pPr>
        <w:pStyle w:val="Ttulo3"/>
        <w:numPr>
          <w:ilvl w:val="2"/>
          <w:numId w:val="24"/>
        </w:numPr>
        <w:tabs>
          <w:tab w:val="left" w:pos="851"/>
        </w:tabs>
        <w:ind w:left="0" w:firstLine="0"/>
      </w:pPr>
      <w:r w:rsidRPr="007231D2">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rsidR="00993AD4" w:rsidRPr="007231D2" w:rsidRDefault="00993AD4" w:rsidP="00993AD4"/>
    <w:p w:rsidR="00993AD4" w:rsidRPr="007231D2" w:rsidRDefault="00993AD4" w:rsidP="009017F5">
      <w:pPr>
        <w:pStyle w:val="Ttulo3"/>
        <w:numPr>
          <w:ilvl w:val="2"/>
          <w:numId w:val="24"/>
        </w:numPr>
        <w:tabs>
          <w:tab w:val="left" w:pos="851"/>
        </w:tabs>
        <w:ind w:left="0" w:firstLine="0"/>
      </w:pPr>
      <w:r w:rsidRPr="007231D2">
        <w:t>A empresa deverá emitir um relatório mensal específico acerca da regularidade ambiental do empreendimento, demonstrando a fiel observância das licenças e atos administrativos ambientais correlatos, bem como de toda a legislação ambiental vigente.</w:t>
      </w:r>
    </w:p>
    <w:p w:rsidR="0012563E" w:rsidRPr="00EB3286" w:rsidRDefault="0012563E" w:rsidP="00713A43">
      <w:pPr>
        <w:pStyle w:val="Ttulo2"/>
        <w:numPr>
          <w:ilvl w:val="0"/>
          <w:numId w:val="0"/>
        </w:numPr>
      </w:pPr>
    </w:p>
    <w:p w:rsidR="00FF6338" w:rsidRPr="00B67FDF" w:rsidRDefault="00F67F6A" w:rsidP="009017F5">
      <w:pPr>
        <w:pStyle w:val="Ttulo2"/>
        <w:numPr>
          <w:ilvl w:val="1"/>
          <w:numId w:val="24"/>
        </w:numPr>
        <w:ind w:left="0" w:firstLine="0"/>
      </w:pPr>
      <w:r w:rsidRPr="00B67FDF">
        <w:t xml:space="preserve">Todas as despesas para a realização dos serviços de controle tecnológico e medições, tais como os equipamentos de topografia, dos laboratórios de controle tecnológico de </w:t>
      </w:r>
      <w:proofErr w:type="gramStart"/>
      <w:r w:rsidR="009E24E7" w:rsidRPr="00B67FDF">
        <w:t>geotécnica</w:t>
      </w:r>
      <w:r w:rsidRPr="00B67FDF">
        <w:t xml:space="preserve"> e concreto</w:t>
      </w:r>
      <w:proofErr w:type="gramEnd"/>
      <w:r w:rsidRPr="00B67FDF">
        <w:t xml:space="preserve">, inclusive manutenção e pessoal de apoio e execução, deverão estar contempladas na proposta no preço estabelecido para a instalação e manutenção do canteiro </w:t>
      </w:r>
      <w:r w:rsidR="004F3B3C">
        <w:t>de obras</w:t>
      </w:r>
      <w:r w:rsidRPr="00B67FDF">
        <w:t>, sendo que ao final d</w:t>
      </w:r>
      <w:r w:rsidR="00E636D8">
        <w:t>o</w:t>
      </w:r>
      <w:r w:rsidRPr="00B67FDF">
        <w:t xml:space="preserve">s </w:t>
      </w:r>
      <w:r w:rsidR="00E636D8">
        <w:t>serviços</w:t>
      </w:r>
      <w:r w:rsidRPr="00B67FDF">
        <w:t xml:space="preserve"> todos equipamentos serão devolvidos à CONTRATADA</w:t>
      </w:r>
      <w:r w:rsidR="0061357F">
        <w:rPr>
          <w:szCs w:val="20"/>
        </w:rPr>
        <w:t>, se cabível</w:t>
      </w:r>
      <w:r w:rsidRPr="00B67FDF">
        <w:t>.</w:t>
      </w:r>
      <w:r w:rsidR="00FF6338" w:rsidRPr="00B67FDF">
        <w:cr/>
      </w:r>
    </w:p>
    <w:p w:rsidR="00FF6338" w:rsidRPr="00FF36C1" w:rsidRDefault="00FF6338" w:rsidP="009017F5">
      <w:pPr>
        <w:pStyle w:val="Ttulo2"/>
        <w:numPr>
          <w:ilvl w:val="1"/>
          <w:numId w:val="24"/>
        </w:numPr>
        <w:ind w:left="0" w:firstLine="0"/>
      </w:pPr>
      <w:r w:rsidRPr="00FF36C1">
        <w:t>Submeter à aprovação da fiscalização os protótipos ou amostras dos materiais e equipamentos a serem aplicados n</w:t>
      </w:r>
      <w:r w:rsidR="00E636D8">
        <w:t>o</w:t>
      </w:r>
      <w:r w:rsidRPr="00FF36C1">
        <w:t xml:space="preserve">s </w:t>
      </w:r>
      <w:r w:rsidR="00FF36C1" w:rsidRPr="00FF36C1">
        <w:rPr>
          <w:szCs w:val="20"/>
        </w:rPr>
        <w:t>serviços de engenharia</w:t>
      </w:r>
      <w:r w:rsidRPr="00FF36C1">
        <w:t xml:space="preserve"> objeto do contrato, inclusive os traços dos concretos a serem utilizados.</w:t>
      </w:r>
    </w:p>
    <w:p w:rsidR="00FF6338" w:rsidRPr="00FF6338" w:rsidRDefault="00FF6338" w:rsidP="00FF6338"/>
    <w:p w:rsidR="00FF6338" w:rsidRDefault="00FF6338" w:rsidP="009017F5">
      <w:pPr>
        <w:pStyle w:val="Ttulo2"/>
        <w:numPr>
          <w:ilvl w:val="1"/>
          <w:numId w:val="24"/>
        </w:numPr>
        <w:ind w:left="0" w:firstLine="0"/>
      </w:pPr>
      <w:r>
        <w:t>Salvo disposições em contrário que constem do termo de contrato, os ensaios, testes</w:t>
      </w:r>
      <w:r w:rsidR="00C66069">
        <w:t>,</w:t>
      </w:r>
      <w:r>
        <w:t xml:space="preserve"> exames e provas exigidos por normas técnicas oficiais para a boa execução do objeto correrão por conta da </w:t>
      </w:r>
      <w:r w:rsidR="00E80740">
        <w:t>CONTRATADA</w:t>
      </w:r>
      <w:r>
        <w:t xml:space="preserve"> e, para garantir a qualidade d</w:t>
      </w:r>
      <w:r w:rsidR="00E636D8">
        <w:t>os serviços</w:t>
      </w:r>
      <w:r>
        <w:t>, deverão ser realizados em laboratórios aprovados pela fiscalização.</w:t>
      </w:r>
    </w:p>
    <w:p w:rsidR="00FF6338" w:rsidRPr="00FF6338" w:rsidRDefault="00FF6338" w:rsidP="00FF6338"/>
    <w:p w:rsidR="00FF6338" w:rsidRDefault="00FF6338" w:rsidP="009017F5">
      <w:pPr>
        <w:pStyle w:val="Ttulo2"/>
        <w:numPr>
          <w:ilvl w:val="1"/>
          <w:numId w:val="24"/>
        </w:numPr>
        <w:ind w:left="0" w:firstLine="0"/>
      </w:pPr>
      <w:r>
        <w:t>Responsabilizar-se por todos e quaisquer danos causados às estruturas, construções, instalações elétricas, cercas, equipamentos, etc.</w:t>
      </w:r>
      <w:r w:rsidR="00747C19">
        <w:t xml:space="preserve">, existentes no local ou decorrentes da execução do objeto desta licitação, bem como </w:t>
      </w:r>
      <w:proofErr w:type="gramStart"/>
      <w:r w:rsidR="00747C19">
        <w:t>pelos danos</w:t>
      </w:r>
      <w:r w:rsidR="00193AAB">
        <w:t>a</w:t>
      </w:r>
      <w:proofErr w:type="gramEnd"/>
      <w:r w:rsidR="00193AAB">
        <w:t xml:space="preserve"> que</w:t>
      </w:r>
      <w:r>
        <w:t xml:space="preserve"> vier </w:t>
      </w:r>
      <w:r w:rsidR="00747C19">
        <w:t xml:space="preserve">causar à </w:t>
      </w:r>
      <w:r w:rsidR="009E24E7" w:rsidRPr="009E24E7">
        <w:t>CODEVASF</w:t>
      </w:r>
      <w:r w:rsidR="00747C19">
        <w:t xml:space="preserve"> e a terceiros</w:t>
      </w:r>
      <w:r w:rsidR="008C043A">
        <w:t>.</w:t>
      </w:r>
    </w:p>
    <w:p w:rsidR="00FF6338" w:rsidRDefault="00FF6338" w:rsidP="00FF6338"/>
    <w:p w:rsidR="00FF6338" w:rsidRDefault="00FF6338" w:rsidP="009017F5">
      <w:pPr>
        <w:pStyle w:val="Ttulo2"/>
        <w:numPr>
          <w:ilvl w:val="1"/>
          <w:numId w:val="24"/>
        </w:numPr>
        <w:ind w:left="0" w:firstLine="0"/>
      </w:pPr>
      <w:r>
        <w:t xml:space="preserve">Exercer a vigilância e proteção de todos os materiais e equipamentos no local </w:t>
      </w:r>
      <w:proofErr w:type="spellStart"/>
      <w:r w:rsidR="00747C19">
        <w:t>d</w:t>
      </w:r>
      <w:r w:rsidR="00E636D8">
        <w:t>o</w:t>
      </w:r>
      <w:r w:rsidR="00747C19">
        <w:t>s</w:t>
      </w:r>
      <w:r w:rsidR="00E636D8">
        <w:rPr>
          <w:szCs w:val="20"/>
        </w:rPr>
        <w:t>serviços</w:t>
      </w:r>
      <w:proofErr w:type="spellEnd"/>
      <w:r w:rsidR="00747C19">
        <w:t>,</w:t>
      </w:r>
      <w:r>
        <w:t xml:space="preserve"> inclusive dos barracões e instalações</w:t>
      </w:r>
      <w:r w:rsidR="003E1311">
        <w:t>, quando houver</w:t>
      </w:r>
      <w:r>
        <w:t>.</w:t>
      </w:r>
    </w:p>
    <w:p w:rsidR="008C043A" w:rsidRPr="008C043A" w:rsidRDefault="008C043A" w:rsidP="008C043A"/>
    <w:p w:rsidR="00FF6338" w:rsidRDefault="00FF6338" w:rsidP="009017F5">
      <w:pPr>
        <w:pStyle w:val="Ttulo2"/>
        <w:numPr>
          <w:ilvl w:val="1"/>
          <w:numId w:val="24"/>
        </w:numPr>
        <w:ind w:left="0" w:firstLine="0"/>
      </w:pPr>
      <w:r>
        <w:t>Todos os acessos necessários para permitir à chegada dos equipamentos e materiais no local de execução dos serviços deverão ser previstos, avaliando-se todas as suas dificuldades, pois os custos decorrentes de qualquer serviço para melhoria destes acessos c</w:t>
      </w:r>
      <w:r w:rsidR="008C043A">
        <w:t xml:space="preserve">orrerão por conta da </w:t>
      </w:r>
      <w:r w:rsidR="00E80740">
        <w:t>CONTRATADA</w:t>
      </w:r>
      <w:r w:rsidR="008C043A">
        <w:t>.</w:t>
      </w:r>
    </w:p>
    <w:p w:rsidR="008C043A" w:rsidRPr="008C043A" w:rsidRDefault="008C043A" w:rsidP="008C043A"/>
    <w:p w:rsidR="00FF6338" w:rsidRDefault="00FF6338" w:rsidP="009017F5">
      <w:pPr>
        <w:pStyle w:val="Ttulo2"/>
        <w:numPr>
          <w:ilvl w:val="1"/>
          <w:numId w:val="24"/>
        </w:numPr>
        <w:ind w:left="0" w:firstLine="0"/>
      </w:pPr>
      <w:r>
        <w:t xml:space="preserve">A </w:t>
      </w:r>
      <w:r w:rsidR="00E80740">
        <w:t>CONTRATADA</w:t>
      </w:r>
      <w:r>
        <w:t xml:space="preserve"> deverá comunicar à Fiscalização toda a mobilização de pessoal e equipamentos, quando da chegada </w:t>
      </w:r>
      <w:r w:rsidR="00E636D8">
        <w:t>ao local dos serviços</w:t>
      </w:r>
      <w:r>
        <w:t xml:space="preserve">, para acompanhamento e controle da </w:t>
      </w:r>
      <w:r w:rsidR="009E24E7" w:rsidRPr="00F022C2">
        <w:rPr>
          <w:b/>
        </w:rPr>
        <w:t>CODEVASF</w:t>
      </w:r>
      <w:r>
        <w:t>.</w:t>
      </w:r>
    </w:p>
    <w:p w:rsidR="008C043A" w:rsidRPr="008C043A" w:rsidRDefault="008C043A" w:rsidP="008C043A"/>
    <w:p w:rsidR="00C34D9D" w:rsidRDefault="00FF6338" w:rsidP="009017F5">
      <w:pPr>
        <w:pStyle w:val="Ttulo2"/>
        <w:numPr>
          <w:ilvl w:val="1"/>
          <w:numId w:val="24"/>
        </w:numPr>
        <w:ind w:left="0" w:firstLine="0"/>
      </w:pPr>
      <w:r>
        <w:t>O cronograma de implantação deverá ser atualizado antes do início efetivo d</w:t>
      </w:r>
      <w:r w:rsidR="00E636D8">
        <w:t>o</w:t>
      </w:r>
      <w:r>
        <w:t>s serviços</w:t>
      </w:r>
      <w:r w:rsidR="00BE0396">
        <w:t xml:space="preserve"> de engenharia</w:t>
      </w:r>
      <w:r>
        <w:t xml:space="preserve">, em função do planejamento previsto pela </w:t>
      </w:r>
      <w:r w:rsidR="00E80740">
        <w:t>CONTRATADA</w:t>
      </w:r>
      <w:r>
        <w:t xml:space="preserve"> e dos fornecimentos de responsabilidade da </w:t>
      </w:r>
      <w:r w:rsidR="009E24E7" w:rsidRPr="009E24E7">
        <w:t>CODEVASF</w:t>
      </w:r>
      <w:r>
        <w:t>, e atualizado/revisado periodicamente conforme solicitação da fiscalização.</w:t>
      </w:r>
    </w:p>
    <w:p w:rsidR="00C34D9D" w:rsidRPr="00C34D9D" w:rsidRDefault="00C34D9D" w:rsidP="00C34D9D"/>
    <w:p w:rsidR="005B173E" w:rsidRPr="00BF720C" w:rsidRDefault="005B173E" w:rsidP="009017F5">
      <w:pPr>
        <w:pStyle w:val="Ttulo2"/>
        <w:numPr>
          <w:ilvl w:val="1"/>
          <w:numId w:val="24"/>
        </w:numPr>
        <w:ind w:left="0" w:firstLine="0"/>
      </w:pPr>
      <w:r w:rsidRPr="00BF720C">
        <w:t xml:space="preserve">Durante a execução dos serviços, caberá à </w:t>
      </w:r>
      <w:proofErr w:type="spellStart"/>
      <w:proofErr w:type="gramStart"/>
      <w:r w:rsidR="00E80740" w:rsidRPr="00BF720C">
        <w:t>CONTRATADA</w:t>
      </w:r>
      <w:r w:rsidR="00C34D9D" w:rsidRPr="00BF720C">
        <w:t>i</w:t>
      </w:r>
      <w:r w:rsidR="003E1311" w:rsidRPr="00BF720C">
        <w:t>nstalar</w:t>
      </w:r>
      <w:proofErr w:type="spellEnd"/>
      <w:proofErr w:type="gramEnd"/>
      <w:r w:rsidR="003E1311" w:rsidRPr="00BF720C">
        <w:t xml:space="preserve"> e manter </w:t>
      </w:r>
      <w:r w:rsidR="008F7664" w:rsidRPr="00BF720C">
        <w:t xml:space="preserve">em local a ser determinado pela </w:t>
      </w:r>
      <w:proofErr w:type="spellStart"/>
      <w:r w:rsidR="009E24E7" w:rsidRPr="00F022C2">
        <w:rPr>
          <w:b/>
        </w:rPr>
        <w:t>CODEVASF</w:t>
      </w:r>
      <w:r w:rsidR="003E1311" w:rsidRPr="00BF720C">
        <w:t>placa</w:t>
      </w:r>
      <w:proofErr w:type="spellEnd"/>
      <w:r w:rsidR="003E1311" w:rsidRPr="00BF720C">
        <w:t xml:space="preserve"> de identificação do serviço, </w:t>
      </w:r>
      <w:r w:rsidRPr="00BF720C">
        <w:t>com as seguintes informações: nome da empresa (contratada), RT pel</w:t>
      </w:r>
      <w:r w:rsidR="00E636D8" w:rsidRPr="00BF720C">
        <w:t>os serviços</w:t>
      </w:r>
      <w:r w:rsidRPr="00BF720C">
        <w:t xml:space="preserve"> com a respectiva ART, nº do Contrato e contratante (</w:t>
      </w:r>
      <w:r w:rsidR="009E24E7" w:rsidRPr="00F022C2">
        <w:rPr>
          <w:b/>
        </w:rPr>
        <w:t>CODEVASF</w:t>
      </w:r>
      <w:r w:rsidRPr="00BF720C">
        <w:t>, conforme Lei nº 5.194/1966 e Resolução CONFEA nº 198/1971.</w:t>
      </w:r>
    </w:p>
    <w:p w:rsidR="005B173E" w:rsidRPr="00BF720C" w:rsidRDefault="005B173E" w:rsidP="005B173E">
      <w:pPr>
        <w:rPr>
          <w:szCs w:val="20"/>
        </w:rPr>
      </w:pPr>
    </w:p>
    <w:p w:rsidR="005B173E" w:rsidRPr="00EB3286" w:rsidRDefault="005B173E" w:rsidP="00906A8C">
      <w:pPr>
        <w:pStyle w:val="Ttulo2"/>
        <w:numPr>
          <w:ilvl w:val="1"/>
          <w:numId w:val="24"/>
        </w:numPr>
        <w:ind w:left="0" w:firstLine="0"/>
      </w:pPr>
      <w:r w:rsidRPr="00EB3286">
        <w:t>A placa de identificação d</w:t>
      </w:r>
      <w:r w:rsidR="00E636D8">
        <w:t>o</w:t>
      </w:r>
      <w:r w:rsidRPr="00EB3286">
        <w:t xml:space="preserve">s serviços deve ser no padrão definido pela </w:t>
      </w:r>
      <w:r w:rsidR="009E24E7" w:rsidRPr="00F022C2">
        <w:rPr>
          <w:b/>
        </w:rPr>
        <w:t>CODEVASF</w:t>
      </w:r>
      <w:r w:rsidRPr="00EB3286">
        <w:t xml:space="preserve"> e em local por ela indicado, cujo modelo encontra-se na publicação Instruções para a Preparação de Placas de Obras Públicas, anexas aos TR, independente das exigidas pelos </w:t>
      </w:r>
      <w:proofErr w:type="gramStart"/>
      <w:r w:rsidRPr="00EB3286">
        <w:t>órgãos de fiscalização de classe –</w:t>
      </w:r>
      <w:r w:rsidR="00221257">
        <w:t xml:space="preserve"> Anexo</w:t>
      </w:r>
      <w:proofErr w:type="gramEnd"/>
      <w:r w:rsidR="00221257">
        <w:t xml:space="preserve"> </w:t>
      </w:r>
      <w:r w:rsidR="00B67FDF">
        <w:t>V</w:t>
      </w:r>
      <w:r w:rsidR="00BF720C">
        <w:t>.</w:t>
      </w:r>
    </w:p>
    <w:p w:rsidR="00C34D9D" w:rsidRDefault="00C34D9D" w:rsidP="00C34D9D">
      <w:pPr>
        <w:pStyle w:val="Ttulo2"/>
        <w:numPr>
          <w:ilvl w:val="0"/>
          <w:numId w:val="0"/>
        </w:numPr>
      </w:pPr>
    </w:p>
    <w:p w:rsidR="005B173E" w:rsidRPr="00EB3286" w:rsidRDefault="005B173E" w:rsidP="009017F5">
      <w:pPr>
        <w:pStyle w:val="Ttulo2"/>
        <w:numPr>
          <w:ilvl w:val="1"/>
          <w:numId w:val="24"/>
        </w:numPr>
        <w:ind w:left="0" w:firstLine="0"/>
      </w:pPr>
      <w:r w:rsidRPr="00EB3286">
        <w:t>Obedecer às normas de higiene e prevenção de acidentes, a fim de garanti</w:t>
      </w:r>
      <w:r w:rsidR="00D259F8">
        <w:t>r</w:t>
      </w:r>
      <w:r w:rsidRPr="00EB3286">
        <w:t xml:space="preserve"> a salubridade e a segurança nos acampamentos e nos canteiros de serviços</w:t>
      </w:r>
      <w:r w:rsidR="0061357F">
        <w:rPr>
          <w:szCs w:val="20"/>
        </w:rPr>
        <w:t>, se cabível</w:t>
      </w:r>
      <w:r w:rsidRPr="00EB3286">
        <w:t>.</w:t>
      </w:r>
    </w:p>
    <w:p w:rsidR="00C34D9D" w:rsidRDefault="00C34D9D" w:rsidP="00C34D9D">
      <w:pPr>
        <w:pStyle w:val="Ttulo2"/>
        <w:numPr>
          <w:ilvl w:val="0"/>
          <w:numId w:val="0"/>
        </w:numPr>
      </w:pPr>
    </w:p>
    <w:p w:rsidR="005B173E" w:rsidRPr="00EB3286" w:rsidRDefault="005B173E" w:rsidP="009017F5">
      <w:pPr>
        <w:pStyle w:val="Ttulo2"/>
        <w:numPr>
          <w:ilvl w:val="1"/>
          <w:numId w:val="24"/>
        </w:numPr>
        <w:ind w:left="0" w:firstLine="0"/>
      </w:pPr>
      <w:r w:rsidRPr="00EB3286">
        <w:t>Responder financeiramente, sem prejuízo</w:t>
      </w:r>
      <w:r w:rsidR="00D259F8">
        <w:t>,</w:t>
      </w:r>
      <w:r w:rsidRPr="00EB3286">
        <w:t xml:space="preserve"> medidas que possam ser </w:t>
      </w:r>
      <w:proofErr w:type="gramStart"/>
      <w:r w:rsidRPr="00EB3286">
        <w:t>adotadas por quaisquer danos causados à União, Estado</w:t>
      </w:r>
      <w:proofErr w:type="gramEnd"/>
      <w:r w:rsidRPr="00EB3286">
        <w:t>, Município ou terceiros, em razão d</w:t>
      </w:r>
      <w:r>
        <w:t xml:space="preserve">a execução </w:t>
      </w:r>
      <w:r w:rsidRPr="00BE0396">
        <w:t>d</w:t>
      </w:r>
      <w:r w:rsidR="000B62E8">
        <w:t>o</w:t>
      </w:r>
      <w:r w:rsidRPr="00BE0396">
        <w:t xml:space="preserve">s </w:t>
      </w:r>
      <w:r w:rsidR="00BE0396" w:rsidRPr="00BE0396">
        <w:t>serviços de engenharia</w:t>
      </w:r>
      <w:r>
        <w:t>.</w:t>
      </w:r>
    </w:p>
    <w:p w:rsidR="00C34D9D" w:rsidRDefault="00C34D9D" w:rsidP="00C34D9D">
      <w:pPr>
        <w:pStyle w:val="Ttulo2"/>
        <w:numPr>
          <w:ilvl w:val="0"/>
          <w:numId w:val="0"/>
        </w:numPr>
      </w:pPr>
    </w:p>
    <w:p w:rsidR="009D4BA4" w:rsidRPr="009D4BA4" w:rsidRDefault="009D4BA4" w:rsidP="009017F5">
      <w:pPr>
        <w:pStyle w:val="Ttulo2"/>
        <w:numPr>
          <w:ilvl w:val="1"/>
          <w:numId w:val="24"/>
        </w:numPr>
        <w:ind w:left="0" w:firstLine="0"/>
      </w:pPr>
      <w:r w:rsidRPr="00EB3286">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C34D9D" w:rsidRDefault="00C34D9D" w:rsidP="00C34D9D">
      <w:pPr>
        <w:pStyle w:val="Ttulo2"/>
        <w:numPr>
          <w:ilvl w:val="0"/>
          <w:numId w:val="0"/>
        </w:numPr>
        <w:rPr>
          <w:u w:val="single"/>
        </w:rPr>
      </w:pPr>
    </w:p>
    <w:p w:rsidR="009D4BA4" w:rsidRDefault="009D4BA4" w:rsidP="009017F5">
      <w:pPr>
        <w:pStyle w:val="Ttulo2"/>
        <w:numPr>
          <w:ilvl w:val="1"/>
          <w:numId w:val="24"/>
        </w:numPr>
        <w:ind w:left="0" w:firstLine="0"/>
      </w:pPr>
      <w:r w:rsidRPr="009D4BA4">
        <w:t>Manter no local d</w:t>
      </w:r>
      <w:r w:rsidR="00A667DC">
        <w:t>o</w:t>
      </w:r>
      <w:r w:rsidRPr="009D4BA4">
        <w:t>s serviços de engenharia uma pasta com todos os documentos previstos e necessários para execução do objeto (</w:t>
      </w:r>
      <w:proofErr w:type="spellStart"/>
      <w:r w:rsidRPr="009D4BA4">
        <w:t>ART’s</w:t>
      </w:r>
      <w:proofErr w:type="spellEnd"/>
      <w:r w:rsidR="009E24E7">
        <w:t xml:space="preserve"> ou equivalentes</w:t>
      </w:r>
      <w:r w:rsidRPr="009D4BA4">
        <w:t xml:space="preserve">, </w:t>
      </w:r>
      <w:r w:rsidR="00C34D9D">
        <w:t>anuênci</w:t>
      </w:r>
      <w:r w:rsidRPr="009D4BA4">
        <w:t xml:space="preserve">as ambientais, projeto básico, alvarás, </w:t>
      </w:r>
      <w:proofErr w:type="spellStart"/>
      <w:r w:rsidRPr="009D4BA4">
        <w:t>etc</w:t>
      </w:r>
      <w:proofErr w:type="spellEnd"/>
      <w:r w:rsidRPr="009D4BA4">
        <w:t>)</w:t>
      </w:r>
      <w:r>
        <w:t>.</w:t>
      </w:r>
    </w:p>
    <w:p w:rsidR="00C06225" w:rsidRPr="00C06225" w:rsidRDefault="00C06225" w:rsidP="00C06225"/>
    <w:p w:rsidR="005B173E" w:rsidRDefault="005B173E" w:rsidP="00713A43">
      <w:pPr>
        <w:pStyle w:val="Ttulo2"/>
        <w:numPr>
          <w:ilvl w:val="0"/>
          <w:numId w:val="0"/>
        </w:numPr>
      </w:pPr>
    </w:p>
    <w:p w:rsidR="006F0AF7" w:rsidRPr="00EB3286" w:rsidRDefault="006F0AF7" w:rsidP="009017F5">
      <w:pPr>
        <w:pStyle w:val="Ttulo1"/>
        <w:numPr>
          <w:ilvl w:val="0"/>
          <w:numId w:val="24"/>
        </w:numPr>
      </w:pPr>
      <w:bookmarkStart w:id="33" w:name="_Toc18400286"/>
      <w:r w:rsidRPr="00EB3286">
        <w:t xml:space="preserve">OBRIGAÇÕES DA </w:t>
      </w:r>
      <w:r w:rsidR="00AE1C18">
        <w:t>CODEVASF</w:t>
      </w:r>
      <w:bookmarkEnd w:id="33"/>
    </w:p>
    <w:p w:rsidR="006F0AF7" w:rsidRDefault="006F0AF7" w:rsidP="006F0AF7">
      <w:pPr>
        <w:rPr>
          <w:szCs w:val="20"/>
        </w:rPr>
      </w:pPr>
    </w:p>
    <w:p w:rsidR="006F0AF7" w:rsidRPr="00EB3286" w:rsidRDefault="006F0AF7" w:rsidP="009017F5">
      <w:pPr>
        <w:pStyle w:val="Ttulo2"/>
        <w:numPr>
          <w:ilvl w:val="1"/>
          <w:numId w:val="24"/>
        </w:numPr>
        <w:ind w:left="0" w:firstLine="0"/>
      </w:pPr>
      <w:r w:rsidRPr="00EB3286">
        <w:t>Exigir da CONTRATADA o cumprimento integral deste Contrato.</w:t>
      </w:r>
    </w:p>
    <w:p w:rsidR="006F0AF7" w:rsidRPr="00EB3286" w:rsidRDefault="006F0AF7" w:rsidP="00713A43">
      <w:pPr>
        <w:pStyle w:val="Ttulo2"/>
        <w:numPr>
          <w:ilvl w:val="0"/>
          <w:numId w:val="0"/>
        </w:numPr>
      </w:pPr>
    </w:p>
    <w:p w:rsidR="006F0AF7" w:rsidRPr="00EB3286" w:rsidRDefault="006F0AF7" w:rsidP="009017F5">
      <w:pPr>
        <w:pStyle w:val="Ttulo2"/>
        <w:numPr>
          <w:ilvl w:val="1"/>
          <w:numId w:val="24"/>
        </w:numPr>
        <w:ind w:left="0" w:firstLine="0"/>
      </w:pPr>
      <w:r w:rsidRPr="00EB3286">
        <w:t>Esclarecer as dúvidas que lhe sejam apresentadas pela CONTRATADA, através de correspondências protocoladas.</w:t>
      </w:r>
    </w:p>
    <w:p w:rsidR="006F0AF7" w:rsidRDefault="006F0AF7" w:rsidP="00713A43">
      <w:pPr>
        <w:pStyle w:val="Ttulo2"/>
        <w:numPr>
          <w:ilvl w:val="0"/>
          <w:numId w:val="0"/>
        </w:numPr>
      </w:pPr>
    </w:p>
    <w:p w:rsidR="00A113DB" w:rsidRDefault="00A113DB" w:rsidP="009017F5">
      <w:pPr>
        <w:pStyle w:val="Ttulo2"/>
        <w:numPr>
          <w:ilvl w:val="1"/>
          <w:numId w:val="24"/>
        </w:numPr>
        <w:ind w:left="0" w:firstLine="0"/>
      </w:pPr>
      <w:r>
        <w:t>Fiscalizar e acompanhar a execução do objeto do contrato.</w:t>
      </w:r>
    </w:p>
    <w:p w:rsidR="00A113DB" w:rsidRPr="00A113DB" w:rsidRDefault="00A113DB" w:rsidP="00A113DB"/>
    <w:p w:rsidR="006F0AF7" w:rsidRDefault="006F0AF7" w:rsidP="009017F5">
      <w:pPr>
        <w:pStyle w:val="Ttulo2"/>
        <w:numPr>
          <w:ilvl w:val="1"/>
          <w:numId w:val="24"/>
        </w:numPr>
        <w:ind w:left="0" w:firstLine="0"/>
      </w:pPr>
      <w:r w:rsidRPr="00EB3286">
        <w:t>Expedir por escrito, as determinações e comunicações dirigidas a CONTRATADA, determinando as providências necessárias à correção das falhas observadas.</w:t>
      </w:r>
    </w:p>
    <w:p w:rsidR="001526C7" w:rsidRPr="001526C7" w:rsidRDefault="001526C7" w:rsidP="001526C7"/>
    <w:p w:rsidR="001526C7" w:rsidRPr="00EB3286" w:rsidRDefault="001526C7" w:rsidP="009017F5">
      <w:pPr>
        <w:pStyle w:val="Ttulo2"/>
        <w:numPr>
          <w:ilvl w:val="1"/>
          <w:numId w:val="24"/>
        </w:numPr>
        <w:ind w:left="0" w:firstLine="0"/>
      </w:pPr>
      <w:r w:rsidRPr="00EB3286">
        <w:t>Rejeitar todo e qualquer serviço inadequado, incompleto ou não especificado e estipular prazo para sua retificação.</w:t>
      </w:r>
    </w:p>
    <w:p w:rsidR="006F0AF7" w:rsidRPr="00EB3286" w:rsidRDefault="006F0AF7" w:rsidP="00713A43">
      <w:pPr>
        <w:pStyle w:val="Ttulo2"/>
        <w:numPr>
          <w:ilvl w:val="0"/>
          <w:numId w:val="0"/>
        </w:numPr>
      </w:pPr>
    </w:p>
    <w:p w:rsidR="001526C7" w:rsidRDefault="001526C7" w:rsidP="009017F5">
      <w:pPr>
        <w:pStyle w:val="Ttulo2"/>
        <w:numPr>
          <w:ilvl w:val="1"/>
          <w:numId w:val="24"/>
        </w:numPr>
        <w:ind w:left="0" w:firstLine="0"/>
      </w:pPr>
      <w:r w:rsidRPr="00EB3286">
        <w:t xml:space="preserve">Emitir parecer para liberação das faturas, e receber </w:t>
      </w:r>
      <w:r w:rsidR="00A667DC">
        <w:t>os</w:t>
      </w:r>
      <w:r w:rsidRPr="00EB3286">
        <w:t xml:space="preserve"> serviços contratados.</w:t>
      </w:r>
    </w:p>
    <w:p w:rsidR="001526C7" w:rsidRPr="001526C7" w:rsidRDefault="001526C7" w:rsidP="001526C7"/>
    <w:p w:rsidR="001526C7" w:rsidRDefault="001526C7" w:rsidP="009017F5">
      <w:pPr>
        <w:pStyle w:val="Ttulo2"/>
        <w:numPr>
          <w:ilvl w:val="1"/>
          <w:numId w:val="24"/>
        </w:numPr>
        <w:ind w:left="0" w:firstLine="0"/>
      </w:pPr>
      <w:r>
        <w:t>Efetuar o pagamento no prazo previsto no contrato.</w:t>
      </w:r>
    </w:p>
    <w:p w:rsidR="008802D6" w:rsidRPr="008802D6" w:rsidRDefault="008802D6" w:rsidP="008802D6"/>
    <w:p w:rsidR="00AE1C18" w:rsidRPr="00AE1C18" w:rsidRDefault="00AE1C18" w:rsidP="00AE1C18"/>
    <w:p w:rsidR="0003097F" w:rsidRPr="00EB3286" w:rsidRDefault="0003097F" w:rsidP="009017F5">
      <w:pPr>
        <w:pStyle w:val="Ttulo1"/>
        <w:numPr>
          <w:ilvl w:val="0"/>
          <w:numId w:val="24"/>
        </w:numPr>
      </w:pPr>
      <w:bookmarkStart w:id="34" w:name="_Toc18400287"/>
      <w:r w:rsidRPr="00EB3286">
        <w:t>CONDIÇÕES GERAIS</w:t>
      </w:r>
      <w:bookmarkEnd w:id="34"/>
    </w:p>
    <w:p w:rsidR="00D119E4" w:rsidRDefault="00D119E4" w:rsidP="0003097F">
      <w:pPr>
        <w:rPr>
          <w:szCs w:val="20"/>
        </w:rPr>
      </w:pPr>
    </w:p>
    <w:p w:rsidR="00D119E4" w:rsidRDefault="00D119E4" w:rsidP="009017F5">
      <w:pPr>
        <w:pStyle w:val="Ttulo2"/>
        <w:numPr>
          <w:ilvl w:val="1"/>
          <w:numId w:val="24"/>
        </w:numPr>
        <w:ind w:left="0" w:firstLine="0"/>
      </w:pPr>
      <w:r w:rsidRPr="00EB3286">
        <w:t xml:space="preserve">O resultado do fornecimento e execução dos serviços </w:t>
      </w:r>
      <w:r w:rsidR="00EE4B14">
        <w:t xml:space="preserve">de engenharia </w:t>
      </w:r>
      <w:r>
        <w:t xml:space="preserve">objeto do certame licitatório, </w:t>
      </w:r>
      <w:r w:rsidRPr="00EB3286">
        <w:t>incluindo os desenhos originais</w:t>
      </w:r>
      <w:r>
        <w:t xml:space="preserve">, </w:t>
      </w:r>
      <w:r w:rsidRPr="00EB3286">
        <w:t>as memórias de cálculo, as informações obtidas e os méto</w:t>
      </w:r>
      <w:r w:rsidR="00A667DC">
        <w:t>dos desenvolvidos no contexto do que será executado</w:t>
      </w:r>
      <w:r w:rsidRPr="00EB3286">
        <w:t xml:space="preserve">, serão de propriedade da </w:t>
      </w:r>
      <w:r w:rsidR="009E24E7" w:rsidRPr="009E24E7">
        <w:t>CODEVASF</w:t>
      </w:r>
      <w:r w:rsidRPr="00EB3286">
        <w:t>, e seu uso por terceiros só se realizará por expressa autorização desta.</w:t>
      </w:r>
    </w:p>
    <w:p w:rsidR="00D119E4" w:rsidRPr="00D119E4" w:rsidRDefault="00D119E4" w:rsidP="00D119E4"/>
    <w:p w:rsidR="0003097F" w:rsidRDefault="0003097F" w:rsidP="009017F5">
      <w:pPr>
        <w:pStyle w:val="Ttulo2"/>
        <w:numPr>
          <w:ilvl w:val="1"/>
          <w:numId w:val="24"/>
        </w:numPr>
        <w:ind w:left="0" w:firstLine="0"/>
      </w:pPr>
      <w:r w:rsidRPr="00EB3286">
        <w:t xml:space="preserve">Este Termo de Referência e seus anexos farão parte integrante do contrato a ser firmado com a </w:t>
      </w:r>
      <w:r w:rsidR="00E80740">
        <w:t>CONTRATADA</w:t>
      </w:r>
      <w:r w:rsidRPr="00EB3286">
        <w:t>, independente de transições.</w:t>
      </w:r>
    </w:p>
    <w:p w:rsidR="00C06225" w:rsidRDefault="00C06225" w:rsidP="00C06225"/>
    <w:p w:rsidR="00182AC6" w:rsidRDefault="00182AC6" w:rsidP="00C06225"/>
    <w:p w:rsidR="00BD2928" w:rsidRPr="00EB3286" w:rsidRDefault="00BD2928" w:rsidP="009017F5">
      <w:pPr>
        <w:pStyle w:val="Ttulo1"/>
        <w:numPr>
          <w:ilvl w:val="0"/>
          <w:numId w:val="24"/>
        </w:numPr>
      </w:pPr>
      <w:bookmarkStart w:id="35" w:name="_Ref441139391"/>
      <w:bookmarkStart w:id="36" w:name="_Toc18400288"/>
      <w:r w:rsidRPr="00EB3286">
        <w:t>ANEXOS</w:t>
      </w:r>
      <w:bookmarkEnd w:id="35"/>
      <w:bookmarkEnd w:id="36"/>
    </w:p>
    <w:p w:rsidR="00BD2928" w:rsidRPr="00EB3286" w:rsidRDefault="00BD2928" w:rsidP="00BD2928">
      <w:pPr>
        <w:rPr>
          <w:szCs w:val="20"/>
        </w:rPr>
      </w:pPr>
    </w:p>
    <w:p w:rsidR="00797B58" w:rsidRPr="00EB3286" w:rsidRDefault="00797B58" w:rsidP="00797B58">
      <w:pPr>
        <w:rPr>
          <w:szCs w:val="20"/>
        </w:rPr>
      </w:pPr>
      <w:r w:rsidRPr="00EB3286">
        <w:rPr>
          <w:szCs w:val="20"/>
        </w:rPr>
        <w:t>São ainda, documentos integrantes deste Termo de Referência, CD-ROM contendo:</w:t>
      </w:r>
    </w:p>
    <w:p w:rsidR="00797B58" w:rsidRPr="00EB3286" w:rsidRDefault="00797B58" w:rsidP="00797B58">
      <w:pPr>
        <w:rPr>
          <w:szCs w:val="20"/>
        </w:rPr>
      </w:pPr>
    </w:p>
    <w:p w:rsidR="00121A92" w:rsidRPr="00370BEF" w:rsidRDefault="00121A92" w:rsidP="009017F5">
      <w:pPr>
        <w:pStyle w:val="PargrafodaLista"/>
        <w:numPr>
          <w:ilvl w:val="0"/>
          <w:numId w:val="6"/>
        </w:numPr>
      </w:pPr>
      <w:r w:rsidRPr="00370BEF">
        <w:t>Anexo I</w:t>
      </w:r>
      <w:r w:rsidRPr="00370BEF">
        <w:rPr>
          <w:szCs w:val="20"/>
        </w:rPr>
        <w:t xml:space="preserve">: </w:t>
      </w:r>
      <w:r w:rsidR="009915CC" w:rsidRPr="00370BEF">
        <w:rPr>
          <w:szCs w:val="20"/>
        </w:rPr>
        <w:t>Justificativas</w:t>
      </w:r>
      <w:r w:rsidRPr="00370BEF">
        <w:rPr>
          <w:szCs w:val="20"/>
        </w:rPr>
        <w:t>;</w:t>
      </w:r>
    </w:p>
    <w:p w:rsidR="005952E6" w:rsidRPr="00370BEF" w:rsidRDefault="005952E6" w:rsidP="009017F5">
      <w:pPr>
        <w:pStyle w:val="PargrafodaLista"/>
        <w:numPr>
          <w:ilvl w:val="0"/>
          <w:numId w:val="6"/>
        </w:numPr>
      </w:pPr>
      <w:proofErr w:type="spellStart"/>
      <w:proofErr w:type="gramStart"/>
      <w:r w:rsidRPr="00370BEF">
        <w:t>AnexoII</w:t>
      </w:r>
      <w:proofErr w:type="spellEnd"/>
      <w:proofErr w:type="gramEnd"/>
      <w:r w:rsidRPr="00370BEF">
        <w:t>: Modelo de Declaração de Conhecimento do Local de Execução dos Serviços;</w:t>
      </w:r>
    </w:p>
    <w:p w:rsidR="00121A92" w:rsidRPr="00370BEF" w:rsidRDefault="00121A92" w:rsidP="009017F5">
      <w:pPr>
        <w:pStyle w:val="PargrafodaLista"/>
        <w:numPr>
          <w:ilvl w:val="0"/>
          <w:numId w:val="6"/>
        </w:numPr>
      </w:pPr>
      <w:proofErr w:type="spellStart"/>
      <w:proofErr w:type="gramStart"/>
      <w:r w:rsidRPr="00370BEF">
        <w:t>Anexo</w:t>
      </w:r>
      <w:r w:rsidR="005952E6" w:rsidRPr="00370BEF">
        <w:t>I</w:t>
      </w:r>
      <w:r w:rsidRPr="00370BEF">
        <w:t>II</w:t>
      </w:r>
      <w:proofErr w:type="spellEnd"/>
      <w:proofErr w:type="gramEnd"/>
      <w:r w:rsidRPr="00370BEF">
        <w:rPr>
          <w:szCs w:val="20"/>
        </w:rPr>
        <w:t>: Detalhamento dos Encargos Sociais e do BDI</w:t>
      </w:r>
      <w:r w:rsidR="00350472" w:rsidRPr="00370BEF">
        <w:t>;</w:t>
      </w:r>
    </w:p>
    <w:p w:rsidR="00121A92" w:rsidRPr="00370BEF" w:rsidRDefault="00121A92" w:rsidP="009017F5">
      <w:pPr>
        <w:pStyle w:val="PargrafodaLista"/>
        <w:numPr>
          <w:ilvl w:val="2"/>
          <w:numId w:val="6"/>
        </w:numPr>
      </w:pPr>
      <w:r w:rsidRPr="00370BEF">
        <w:t xml:space="preserve">Detalhamento dos Encargos Sociais (PO-XIV) – </w:t>
      </w:r>
      <w:proofErr w:type="spellStart"/>
      <w:r w:rsidRPr="00370BEF">
        <w:t>Horista</w:t>
      </w:r>
      <w:proofErr w:type="spellEnd"/>
      <w:r w:rsidRPr="00370BEF">
        <w:t xml:space="preserve"> e Mensalista;</w:t>
      </w:r>
    </w:p>
    <w:p w:rsidR="00121A92" w:rsidRPr="00370BEF" w:rsidRDefault="00C06225" w:rsidP="009017F5">
      <w:pPr>
        <w:pStyle w:val="PargrafodaLista"/>
        <w:numPr>
          <w:ilvl w:val="2"/>
          <w:numId w:val="6"/>
        </w:numPr>
      </w:pPr>
      <w:r>
        <w:t>Detalhamento do BDI – (PO-XV)</w:t>
      </w:r>
      <w:r w:rsidR="00B43958" w:rsidRPr="00370BEF">
        <w:t>;</w:t>
      </w:r>
    </w:p>
    <w:p w:rsidR="00121A92" w:rsidRPr="00370BEF" w:rsidRDefault="00121A92" w:rsidP="009017F5">
      <w:pPr>
        <w:pStyle w:val="PargrafodaLista"/>
        <w:numPr>
          <w:ilvl w:val="0"/>
          <w:numId w:val="6"/>
        </w:numPr>
      </w:pPr>
      <w:r w:rsidRPr="00370BEF">
        <w:t>Anexo I</w:t>
      </w:r>
      <w:r w:rsidR="005952E6" w:rsidRPr="00370BEF">
        <w:t>V</w:t>
      </w:r>
      <w:r w:rsidRPr="00370BEF">
        <w:rPr>
          <w:szCs w:val="20"/>
        </w:rPr>
        <w:t>: Desenhos e memoriais;</w:t>
      </w:r>
    </w:p>
    <w:p w:rsidR="00121A92" w:rsidRPr="00370BEF" w:rsidRDefault="00121A92" w:rsidP="009017F5">
      <w:pPr>
        <w:pStyle w:val="PargrafodaLista"/>
        <w:numPr>
          <w:ilvl w:val="0"/>
          <w:numId w:val="6"/>
        </w:numPr>
      </w:pPr>
      <w:r w:rsidRPr="00370BEF">
        <w:t>Anexo V</w:t>
      </w:r>
      <w:r w:rsidRPr="00370BEF">
        <w:rPr>
          <w:szCs w:val="20"/>
        </w:rPr>
        <w:t>: Manual de Uso da Marca do Governo;</w:t>
      </w:r>
    </w:p>
    <w:p w:rsidR="00121A92" w:rsidRPr="00370BEF" w:rsidRDefault="00121A92" w:rsidP="009017F5">
      <w:pPr>
        <w:pStyle w:val="PargrafodaLista"/>
        <w:numPr>
          <w:ilvl w:val="0"/>
          <w:numId w:val="6"/>
        </w:numPr>
      </w:pPr>
      <w:proofErr w:type="gramStart"/>
      <w:r w:rsidRPr="00370BEF">
        <w:t>Anexo VI</w:t>
      </w:r>
      <w:proofErr w:type="gramEnd"/>
      <w:r w:rsidRPr="00370BEF">
        <w:rPr>
          <w:szCs w:val="20"/>
        </w:rPr>
        <w:t>: Planilha de Custos do Valor do Orçamento de Referência (Planilha Detalhada)</w:t>
      </w:r>
      <w:r w:rsidRPr="00370BEF">
        <w:t>;</w:t>
      </w:r>
    </w:p>
    <w:p w:rsidR="00121A92" w:rsidRPr="00802303" w:rsidRDefault="00121A92" w:rsidP="009017F5">
      <w:pPr>
        <w:pStyle w:val="PargrafodaLista"/>
        <w:numPr>
          <w:ilvl w:val="0"/>
          <w:numId w:val="6"/>
        </w:numPr>
      </w:pPr>
      <w:r w:rsidRPr="00370BEF">
        <w:t>Anexo VI</w:t>
      </w:r>
      <w:r w:rsidR="005952E6" w:rsidRPr="00370BEF">
        <w:t>I</w:t>
      </w:r>
      <w:r w:rsidRPr="00370BEF">
        <w:rPr>
          <w:szCs w:val="20"/>
        </w:rPr>
        <w:t>: Memorial e Especificações Técnicas do Projeto Básico;</w:t>
      </w:r>
    </w:p>
    <w:p w:rsidR="00802303" w:rsidRPr="00370BEF" w:rsidRDefault="00802303" w:rsidP="009017F5">
      <w:pPr>
        <w:pStyle w:val="PargrafodaLista"/>
        <w:numPr>
          <w:ilvl w:val="0"/>
          <w:numId w:val="6"/>
        </w:numPr>
      </w:pPr>
      <w:r>
        <w:rPr>
          <w:szCs w:val="20"/>
        </w:rPr>
        <w:t>Anexo VIII: Matriz de Risco;</w:t>
      </w:r>
    </w:p>
    <w:p w:rsidR="0008374A" w:rsidRPr="00370BEF" w:rsidRDefault="0008374A" w:rsidP="007D2194">
      <w:pPr>
        <w:ind w:left="360"/>
      </w:pPr>
    </w:p>
    <w:p w:rsidR="00797B58" w:rsidRPr="00214515" w:rsidRDefault="00797B58" w:rsidP="00BD2928">
      <w:pPr>
        <w:rPr>
          <w:color w:val="FF0000"/>
          <w:szCs w:val="20"/>
        </w:rPr>
      </w:pPr>
    </w:p>
    <w:p w:rsidR="00E27B5E" w:rsidRDefault="00E27B5E" w:rsidP="00D83071">
      <w:pPr>
        <w:spacing w:after="200" w:line="276" w:lineRule="auto"/>
        <w:jc w:val="center"/>
        <w:rPr>
          <w:szCs w:val="20"/>
        </w:rPr>
      </w:pPr>
    </w:p>
    <w:p w:rsidR="00797B58" w:rsidRPr="00D83071" w:rsidRDefault="00BD2928" w:rsidP="00D83071">
      <w:pPr>
        <w:spacing w:after="200" w:line="276" w:lineRule="auto"/>
        <w:jc w:val="center"/>
        <w:rPr>
          <w:b/>
        </w:rPr>
      </w:pPr>
      <w:r w:rsidRPr="00EB3286">
        <w:rPr>
          <w:szCs w:val="20"/>
        </w:rPr>
        <w:br w:type="page"/>
      </w:r>
      <w:bookmarkStart w:id="37" w:name="_Ref450205714"/>
      <w:bookmarkStart w:id="38" w:name="_Toc352230692"/>
      <w:bookmarkStart w:id="39" w:name="_Toc392675799"/>
      <w:bookmarkStart w:id="40" w:name="_Ref394333211"/>
      <w:bookmarkStart w:id="41" w:name="_Ref440982424"/>
      <w:bookmarkStart w:id="42" w:name="_Toc440982774"/>
      <w:bookmarkStart w:id="43" w:name="_Ref441155482"/>
      <w:bookmarkStart w:id="44" w:name="_Ref450206143"/>
      <w:bookmarkStart w:id="45" w:name="_Ref462845863"/>
      <w:bookmarkStart w:id="46" w:name="_Ref462845883"/>
      <w:bookmarkStart w:id="47" w:name="_Ref462845891"/>
      <w:r w:rsidR="00123C9F" w:rsidRPr="00D83071">
        <w:rPr>
          <w:b/>
        </w:rPr>
        <w:t xml:space="preserve">Anexo </w:t>
      </w:r>
      <w:r w:rsidR="00B456DC" w:rsidRPr="00D83071">
        <w:rPr>
          <w:b/>
        </w:rPr>
        <w:fldChar w:fldCharType="begin"/>
      </w:r>
      <w:r w:rsidR="00123C9F" w:rsidRPr="00D83071">
        <w:rPr>
          <w:b/>
        </w:rPr>
        <w:instrText xml:space="preserve"> SEQ Anexo \* ROMAN </w:instrText>
      </w:r>
      <w:r w:rsidR="00B456DC" w:rsidRPr="00D83071">
        <w:rPr>
          <w:b/>
        </w:rPr>
        <w:fldChar w:fldCharType="separate"/>
      </w:r>
      <w:r w:rsidR="004228FA">
        <w:rPr>
          <w:b/>
          <w:noProof/>
        </w:rPr>
        <w:t>I</w:t>
      </w:r>
      <w:r w:rsidR="00B456DC" w:rsidRPr="00D83071">
        <w:rPr>
          <w:b/>
        </w:rPr>
        <w:fldChar w:fldCharType="end"/>
      </w:r>
      <w:bookmarkEnd w:id="37"/>
      <w:r w:rsidR="007D4917" w:rsidRPr="00D83071">
        <w:rPr>
          <w:b/>
        </w:rPr>
        <w:t xml:space="preserve">: </w:t>
      </w:r>
      <w:r w:rsidR="00141C2D" w:rsidRPr="00D83071">
        <w:rPr>
          <w:b/>
        </w:rPr>
        <w:t>Justificativas</w:t>
      </w:r>
      <w:bookmarkEnd w:id="38"/>
      <w:bookmarkEnd w:id="39"/>
      <w:bookmarkEnd w:id="40"/>
      <w:bookmarkEnd w:id="41"/>
      <w:bookmarkEnd w:id="42"/>
      <w:bookmarkEnd w:id="43"/>
      <w:bookmarkEnd w:id="44"/>
      <w:bookmarkEnd w:id="45"/>
      <w:bookmarkEnd w:id="46"/>
      <w:bookmarkEnd w:id="47"/>
    </w:p>
    <w:p w:rsidR="00797B58" w:rsidRDefault="00797B58" w:rsidP="00797B58">
      <w:pPr>
        <w:rPr>
          <w:szCs w:val="20"/>
        </w:rPr>
      </w:pPr>
    </w:p>
    <w:p w:rsidR="00FE5E15" w:rsidRPr="000845A2" w:rsidRDefault="000845A2" w:rsidP="00FE5E15">
      <w:pPr>
        <w:rPr>
          <w:szCs w:val="20"/>
        </w:rPr>
      </w:pPr>
      <w:r w:rsidRPr="000845A2">
        <w:rPr>
          <w:b/>
          <w:szCs w:val="20"/>
        </w:rPr>
        <w:t>Finalidade</w:t>
      </w:r>
      <w:r w:rsidRPr="000845A2">
        <w:rPr>
          <w:szCs w:val="20"/>
        </w:rPr>
        <w:t xml:space="preserve">: </w:t>
      </w:r>
      <w:r w:rsidR="009E24E7">
        <w:rPr>
          <w:szCs w:val="20"/>
        </w:rPr>
        <w:t>E</w:t>
      </w:r>
      <w:r w:rsidR="00FE5E15" w:rsidRPr="000845A2">
        <w:rPr>
          <w:szCs w:val="20"/>
        </w:rPr>
        <w:t>ste anexo tem por finalidade incluir exigências e particularidades em função da especificidade d</w:t>
      </w:r>
      <w:r w:rsidR="00A667DC">
        <w:rPr>
          <w:szCs w:val="20"/>
        </w:rPr>
        <w:t>o</w:t>
      </w:r>
      <w:r w:rsidR="00FE5E15" w:rsidRPr="000845A2">
        <w:rPr>
          <w:szCs w:val="20"/>
        </w:rPr>
        <w:t xml:space="preserve"> serviço de engenharia, previstas no Termo de Referência e que aqui </w:t>
      </w:r>
      <w:proofErr w:type="gramStart"/>
      <w:r w:rsidR="00FE5E15" w:rsidRPr="000845A2">
        <w:rPr>
          <w:szCs w:val="20"/>
        </w:rPr>
        <w:t>após</w:t>
      </w:r>
      <w:proofErr w:type="gramEnd"/>
      <w:r w:rsidR="00FE5E15" w:rsidRPr="000845A2">
        <w:rPr>
          <w:szCs w:val="20"/>
        </w:rPr>
        <w:t xml:space="preserve"> relacionadas passam a integrar o TR.</w:t>
      </w:r>
    </w:p>
    <w:p w:rsidR="009D4A70" w:rsidRPr="000845A2" w:rsidRDefault="009D4A70" w:rsidP="00FE5E15">
      <w:pPr>
        <w:rPr>
          <w:szCs w:val="20"/>
        </w:rPr>
      </w:pPr>
    </w:p>
    <w:p w:rsidR="00FE5E15" w:rsidRPr="000845A2" w:rsidRDefault="00FE5E15" w:rsidP="00FE5E15">
      <w:pPr>
        <w:rPr>
          <w:b/>
          <w:szCs w:val="20"/>
        </w:rPr>
      </w:pPr>
      <w:r w:rsidRPr="000845A2">
        <w:rPr>
          <w:b/>
          <w:szCs w:val="20"/>
        </w:rPr>
        <w:t>Justificativas:</w:t>
      </w:r>
    </w:p>
    <w:p w:rsidR="009D4A70" w:rsidRDefault="009D4A70" w:rsidP="00FE5E15">
      <w:pPr>
        <w:rPr>
          <w:szCs w:val="20"/>
        </w:rPr>
      </w:pPr>
    </w:p>
    <w:p w:rsidR="00FE5E15" w:rsidRDefault="00FE5E15" w:rsidP="00FE5E15">
      <w:pPr>
        <w:rPr>
          <w:b/>
          <w:szCs w:val="20"/>
        </w:rPr>
      </w:pPr>
      <w:r w:rsidRPr="000845A2">
        <w:rPr>
          <w:b/>
          <w:szCs w:val="20"/>
          <w:u w:val="single"/>
        </w:rPr>
        <w:t>Da necessidade da contratação</w:t>
      </w:r>
      <w:r w:rsidR="009D4A70" w:rsidRPr="003E4DEC">
        <w:rPr>
          <w:szCs w:val="20"/>
        </w:rPr>
        <w:t>:</w:t>
      </w:r>
    </w:p>
    <w:p w:rsidR="00B5382F" w:rsidRPr="00B5382F" w:rsidRDefault="00B5382F" w:rsidP="00FE5E15">
      <w:pPr>
        <w:rPr>
          <w:szCs w:val="20"/>
          <w:u w:val="single"/>
        </w:rPr>
      </w:pPr>
    </w:p>
    <w:p w:rsidR="00E11D84" w:rsidRPr="00B5382F" w:rsidRDefault="00E11D84" w:rsidP="00E11D84">
      <w:pPr>
        <w:pStyle w:val="PargrafodaLista"/>
        <w:numPr>
          <w:ilvl w:val="0"/>
          <w:numId w:val="27"/>
        </w:numPr>
        <w:suppressAutoHyphens/>
        <w:spacing w:line="276" w:lineRule="auto"/>
        <w:ind w:left="0" w:firstLine="0"/>
        <w:rPr>
          <w:rFonts w:eastAsia="Times New Roman"/>
          <w:vanish/>
          <w:szCs w:val="20"/>
          <w:lang w:eastAsia="ar-SA"/>
        </w:rPr>
      </w:pPr>
    </w:p>
    <w:p w:rsidR="00E11D84" w:rsidRPr="00B5382F" w:rsidRDefault="00E11D84" w:rsidP="00E11D84">
      <w:pPr>
        <w:pStyle w:val="PargrafodaLista"/>
        <w:numPr>
          <w:ilvl w:val="0"/>
          <w:numId w:val="27"/>
        </w:numPr>
        <w:suppressAutoHyphens/>
        <w:spacing w:line="276" w:lineRule="auto"/>
        <w:rPr>
          <w:rFonts w:eastAsia="Times New Roman"/>
          <w:vanish/>
          <w:szCs w:val="20"/>
          <w:lang w:eastAsia="ar-SA"/>
        </w:rPr>
      </w:pPr>
    </w:p>
    <w:p w:rsidR="00E11D84" w:rsidRPr="00B5382F" w:rsidRDefault="00E11D84" w:rsidP="00E11D84">
      <w:pPr>
        <w:pStyle w:val="PargrafodaLista"/>
        <w:numPr>
          <w:ilvl w:val="0"/>
          <w:numId w:val="27"/>
        </w:numPr>
        <w:suppressAutoHyphens/>
        <w:spacing w:line="276" w:lineRule="auto"/>
        <w:rPr>
          <w:rFonts w:eastAsia="Times New Roman"/>
          <w:vanish/>
          <w:szCs w:val="20"/>
          <w:lang w:eastAsia="ar-SA"/>
        </w:rPr>
      </w:pPr>
    </w:p>
    <w:p w:rsidR="00E11D84" w:rsidRPr="00B5382F" w:rsidRDefault="00E11D84" w:rsidP="00E11D84">
      <w:pPr>
        <w:pStyle w:val="Recuodecorpodetexto"/>
        <w:numPr>
          <w:ilvl w:val="1"/>
          <w:numId w:val="28"/>
        </w:numPr>
        <w:suppressAutoHyphens/>
        <w:spacing w:after="0" w:line="276" w:lineRule="auto"/>
        <w:ind w:left="567" w:hanging="567"/>
        <w:rPr>
          <w:szCs w:val="20"/>
        </w:rPr>
      </w:pPr>
      <w:r w:rsidRPr="00B5382F">
        <w:rPr>
          <w:szCs w:val="20"/>
        </w:rPr>
        <w:t>VANTAGEM DE REALIZAÇÃO DE ABASTECIMENTO DE ÁGUA ATRAVÉS DE PERFURAÇÃO DE POÇO</w:t>
      </w:r>
    </w:p>
    <w:p w:rsidR="00E11D84" w:rsidRPr="00E11D84" w:rsidRDefault="00E11D84" w:rsidP="00E11D84">
      <w:pPr>
        <w:autoSpaceDE w:val="0"/>
        <w:spacing w:line="276" w:lineRule="auto"/>
        <w:rPr>
          <w:szCs w:val="20"/>
        </w:rPr>
      </w:pPr>
      <w:r w:rsidRPr="00E11D84">
        <w:rPr>
          <w:szCs w:val="20"/>
        </w:rPr>
        <w:t xml:space="preserve">Mesmo possuindo uma das maiores disponibilidades de água doce do mundo em seu território, o Brasil também apresenta uma extensa região caracterizada por déficits hídricos e secas recorrentes. Nessa região, conhecida como </w:t>
      </w:r>
      <w:proofErr w:type="spellStart"/>
      <w:r w:rsidRPr="00E11D84">
        <w:rPr>
          <w:szCs w:val="20"/>
        </w:rPr>
        <w:t>Semiárido</w:t>
      </w:r>
      <w:proofErr w:type="spellEnd"/>
      <w:r w:rsidRPr="00E11D84">
        <w:rPr>
          <w:szCs w:val="20"/>
        </w:rPr>
        <w:t xml:space="preserve"> Brasileiro, há, segundo autores diversos, relatos de graves secas desde o ano de 1583, quando Fernão </w:t>
      </w:r>
      <w:proofErr w:type="spellStart"/>
      <w:r w:rsidRPr="00E11D84">
        <w:rPr>
          <w:szCs w:val="20"/>
        </w:rPr>
        <w:t>Cardim</w:t>
      </w:r>
      <w:proofErr w:type="spellEnd"/>
      <w:r w:rsidRPr="00E11D84">
        <w:rPr>
          <w:szCs w:val="20"/>
        </w:rPr>
        <w:t xml:space="preserve"> registrou a estiagem que assolava a Bahia, reduzindo a produção dos engenhos de açúcar e forçando muitos indígenas a se abrigarem no litoral.</w:t>
      </w:r>
    </w:p>
    <w:p w:rsidR="00E11D84" w:rsidRPr="00E11D84" w:rsidRDefault="00E11D84" w:rsidP="00E11D84">
      <w:pPr>
        <w:autoSpaceDE w:val="0"/>
        <w:spacing w:line="276" w:lineRule="auto"/>
        <w:rPr>
          <w:szCs w:val="20"/>
        </w:rPr>
      </w:pPr>
      <w:r w:rsidRPr="00E11D84">
        <w:rPr>
          <w:szCs w:val="20"/>
        </w:rPr>
        <w:t>Em documentos oficiais, os primeiros registros de ocorrência de grandes estiagens, datam de 1729, ocasião em que muitos escravos morreram de fome e os engenhos paralisaram suas atividades.</w:t>
      </w:r>
    </w:p>
    <w:p w:rsidR="00E11D84" w:rsidRPr="00E11D84" w:rsidRDefault="00E11D84" w:rsidP="00E11D84">
      <w:pPr>
        <w:autoSpaceDE w:val="0"/>
        <w:spacing w:line="276" w:lineRule="auto"/>
        <w:rPr>
          <w:szCs w:val="20"/>
        </w:rPr>
      </w:pPr>
      <w:r w:rsidRPr="00E11D84">
        <w:rPr>
          <w:szCs w:val="20"/>
        </w:rPr>
        <w:t xml:space="preserve">Apesar de todos estes registros, o fenômeno da seca só ganhou notoriedade no Brasil com o grande flagelo dos anos 1877-1879, quando pereceram cerca de 500 mil nordestinos. Outras grandes secas ocorreram em 1915, 1932, 1969-1970 e, mais recentemente, na severa estiagem ocorrida entre 1979 e 1983, que, segundo estimativas, </w:t>
      </w:r>
      <w:proofErr w:type="gramStart"/>
      <w:r w:rsidRPr="00E11D84">
        <w:rPr>
          <w:szCs w:val="20"/>
        </w:rPr>
        <w:t>provocou</w:t>
      </w:r>
      <w:proofErr w:type="gramEnd"/>
      <w:r w:rsidRPr="00E11D84">
        <w:rPr>
          <w:szCs w:val="20"/>
        </w:rPr>
        <w:t xml:space="preserve"> mais de 100 mil mortes e deixou milhões de flagelados.</w:t>
      </w:r>
    </w:p>
    <w:p w:rsidR="00E11D84" w:rsidRPr="00E11D84" w:rsidRDefault="00E11D84" w:rsidP="00E11D84">
      <w:pPr>
        <w:autoSpaceDE w:val="0"/>
        <w:spacing w:line="276" w:lineRule="auto"/>
        <w:rPr>
          <w:szCs w:val="20"/>
        </w:rPr>
      </w:pPr>
      <w:r w:rsidRPr="00E11D84">
        <w:rPr>
          <w:szCs w:val="20"/>
        </w:rPr>
        <w:t xml:space="preserve">O Governo Federal e os Estados abrangidos pelo </w:t>
      </w:r>
      <w:proofErr w:type="spellStart"/>
      <w:r w:rsidRPr="00E11D84">
        <w:rPr>
          <w:szCs w:val="20"/>
        </w:rPr>
        <w:t>semiárido</w:t>
      </w:r>
      <w:proofErr w:type="spellEnd"/>
      <w:r w:rsidRPr="00E11D84">
        <w:rPr>
          <w:szCs w:val="20"/>
        </w:rPr>
        <w:t xml:space="preserve"> vêm, há várias décadas, desenvolvendo políticas, projetos e ações focadas na mitigação das secas e no desenvolvimento das populações afetadas. Muito se investiu na construção de açudes e barragens, na formação de frentes de trabalho, na distribuição de água por caminhões pipa, na distribuição de cestas básicas e na implantação de grandes projetos de irrigação.</w:t>
      </w:r>
    </w:p>
    <w:p w:rsidR="00E11D84" w:rsidRPr="00E11D84" w:rsidRDefault="00E11D84" w:rsidP="00E11D84">
      <w:pPr>
        <w:autoSpaceDE w:val="0"/>
        <w:spacing w:line="276" w:lineRule="auto"/>
        <w:rPr>
          <w:szCs w:val="20"/>
        </w:rPr>
      </w:pPr>
      <w:r w:rsidRPr="00E11D84">
        <w:rPr>
          <w:szCs w:val="20"/>
        </w:rPr>
        <w:t>Entretanto, verifica-se que os esforços e investimentos realizados ainda não foram c</w:t>
      </w:r>
      <w:r w:rsidR="00E342E8">
        <w:rPr>
          <w:szCs w:val="20"/>
        </w:rPr>
        <w:t xml:space="preserve">apazes de solucionar o </w:t>
      </w:r>
      <w:proofErr w:type="gramStart"/>
      <w:r w:rsidR="00E342E8">
        <w:rPr>
          <w:szCs w:val="20"/>
        </w:rPr>
        <w:t>problema.</w:t>
      </w:r>
      <w:proofErr w:type="gramEnd"/>
      <w:r w:rsidR="00E342E8">
        <w:rPr>
          <w:szCs w:val="20"/>
        </w:rPr>
        <w:t>A</w:t>
      </w:r>
      <w:r w:rsidRPr="00E11D84">
        <w:rPr>
          <w:szCs w:val="20"/>
        </w:rPr>
        <w:t xml:space="preserve"> população dessa região ainda passa por terríveis dificuldades causadas pelas secas periódicas, que, sabe-se, continuarão a ocorrer.</w:t>
      </w:r>
    </w:p>
    <w:p w:rsidR="00E11D84" w:rsidRPr="00E11D84" w:rsidRDefault="00E11D84" w:rsidP="00E11D84">
      <w:pPr>
        <w:spacing w:line="276" w:lineRule="auto"/>
        <w:rPr>
          <w:szCs w:val="20"/>
        </w:rPr>
      </w:pPr>
      <w:r w:rsidRPr="00E11D84">
        <w:rPr>
          <w:szCs w:val="20"/>
        </w:rPr>
        <w:t>Outro elemento que pode ser usado neste processo de minoração dos efeitos da estiagem é a construção de poços artesianos. Os custos para a construção de barragens rede de recalques e dist</w:t>
      </w:r>
      <w:r w:rsidR="000F565D">
        <w:rPr>
          <w:szCs w:val="20"/>
        </w:rPr>
        <w:t>ribuição de água, por exemplo, </w:t>
      </w:r>
      <w:r w:rsidRPr="00E11D84">
        <w:rPr>
          <w:szCs w:val="20"/>
        </w:rPr>
        <w:t xml:space="preserve">são significativos, necessitam de um razoável espaço de tempo para serem implantadas e, </w:t>
      </w:r>
      <w:proofErr w:type="gramStart"/>
      <w:r w:rsidRPr="00E11D84">
        <w:rPr>
          <w:szCs w:val="20"/>
        </w:rPr>
        <w:t>via de regra</w:t>
      </w:r>
      <w:proofErr w:type="gramEnd"/>
      <w:r w:rsidRPr="00E11D84">
        <w:rPr>
          <w:szCs w:val="20"/>
        </w:rPr>
        <w:t xml:space="preserve">, provocam grande impacto ambiental. </w:t>
      </w:r>
      <w:r w:rsidR="006A5D4D">
        <w:rPr>
          <w:szCs w:val="20"/>
        </w:rPr>
        <w:t>O</w:t>
      </w:r>
      <w:r w:rsidRPr="00E11D84">
        <w:rPr>
          <w:szCs w:val="20"/>
        </w:rPr>
        <w:t>s s</w:t>
      </w:r>
      <w:r w:rsidR="006A5D4D">
        <w:rPr>
          <w:szCs w:val="20"/>
        </w:rPr>
        <w:t>erviços</w:t>
      </w:r>
      <w:r w:rsidRPr="00E11D84">
        <w:rPr>
          <w:szCs w:val="20"/>
        </w:rPr>
        <w:t xml:space="preserve"> de perfuração de poços têm custo extremamente baixo, sua implantação necessita de curto período de tempo, comparado às outras formas de captação de água, além de provocarem pequenos impactos ao meio ambiente.</w:t>
      </w:r>
    </w:p>
    <w:p w:rsidR="00E11D84" w:rsidRPr="00E11D84" w:rsidRDefault="00E11D84" w:rsidP="00E11D84">
      <w:pPr>
        <w:spacing w:line="276" w:lineRule="auto"/>
        <w:rPr>
          <w:szCs w:val="20"/>
        </w:rPr>
      </w:pPr>
      <w:r w:rsidRPr="00E11D84">
        <w:rPr>
          <w:szCs w:val="20"/>
        </w:rPr>
        <w:t>Segundo especialistas, o abastecimento de água realizado mediante a perfuração de p</w:t>
      </w:r>
      <w:r w:rsidR="001C183E">
        <w:rPr>
          <w:szCs w:val="20"/>
        </w:rPr>
        <w:t>oços é mais vantajoso que as</w:t>
      </w:r>
      <w:r w:rsidRPr="00E11D84">
        <w:rPr>
          <w:szCs w:val="20"/>
        </w:rPr>
        <w:t xml:space="preserve"> demais formas de abastecimento, sendo extremamente recomendad</w:t>
      </w:r>
      <w:r w:rsidR="001C183E">
        <w:rPr>
          <w:szCs w:val="20"/>
        </w:rPr>
        <w:t>o</w:t>
      </w:r>
      <w:r w:rsidRPr="00E11D84">
        <w:rPr>
          <w:szCs w:val="20"/>
        </w:rPr>
        <w:t xml:space="preserve"> para pequenas comunidades e vilarejos situados distantes da calha de rios permanentes.</w:t>
      </w:r>
    </w:p>
    <w:p w:rsidR="00E11D84" w:rsidRPr="00E11D84" w:rsidRDefault="00E11D84" w:rsidP="00E11D84">
      <w:pPr>
        <w:ind w:left="567"/>
        <w:rPr>
          <w:szCs w:val="20"/>
        </w:rPr>
      </w:pPr>
    </w:p>
    <w:p w:rsidR="00E11D84" w:rsidRPr="00B5382F" w:rsidRDefault="00E11D84" w:rsidP="00E11D84">
      <w:pPr>
        <w:pStyle w:val="Recuodecorpodetexto"/>
        <w:numPr>
          <w:ilvl w:val="2"/>
          <w:numId w:val="28"/>
        </w:numPr>
        <w:suppressAutoHyphens/>
        <w:spacing w:after="0" w:line="276" w:lineRule="auto"/>
        <w:ind w:left="567" w:hanging="283"/>
        <w:rPr>
          <w:szCs w:val="20"/>
        </w:rPr>
      </w:pPr>
      <w:r w:rsidRPr="00B5382F">
        <w:rPr>
          <w:bCs/>
          <w:szCs w:val="20"/>
        </w:rPr>
        <w:t>As gran</w:t>
      </w:r>
      <w:r w:rsidRPr="00B5382F">
        <w:rPr>
          <w:szCs w:val="20"/>
        </w:rPr>
        <w:t>de</w:t>
      </w:r>
      <w:r w:rsidRPr="00B5382F">
        <w:rPr>
          <w:bCs/>
          <w:szCs w:val="20"/>
        </w:rPr>
        <w:t xml:space="preserve">s </w:t>
      </w:r>
      <w:r w:rsidRPr="00B5382F">
        <w:rPr>
          <w:szCs w:val="20"/>
        </w:rPr>
        <w:t>vantagens</w:t>
      </w:r>
      <w:r w:rsidRPr="00B5382F">
        <w:rPr>
          <w:bCs/>
          <w:szCs w:val="20"/>
        </w:rPr>
        <w:t xml:space="preserve"> do </w:t>
      </w:r>
      <w:r w:rsidR="00B5382F">
        <w:rPr>
          <w:bCs/>
          <w:szCs w:val="20"/>
        </w:rPr>
        <w:t>uso das águas subterrâneas são:</w:t>
      </w:r>
      <w:r w:rsidRPr="00B5382F">
        <w:rPr>
          <w:szCs w:val="20"/>
        </w:rPr>
        <w:t>  </w:t>
      </w:r>
    </w:p>
    <w:p w:rsidR="00182AC6" w:rsidRPr="00FD00EB" w:rsidRDefault="00E11D84" w:rsidP="00B5382F">
      <w:pPr>
        <w:pStyle w:val="western"/>
        <w:numPr>
          <w:ilvl w:val="0"/>
          <w:numId w:val="26"/>
        </w:numPr>
        <w:spacing w:before="0" w:after="0" w:line="276" w:lineRule="auto"/>
        <w:ind w:left="567" w:hanging="284"/>
        <w:jc w:val="both"/>
        <w:rPr>
          <w:rFonts w:ascii="Arial" w:hAnsi="Arial" w:cs="Arial"/>
          <w:sz w:val="20"/>
          <w:szCs w:val="20"/>
        </w:rPr>
      </w:pPr>
      <w:r w:rsidRPr="00E11D84">
        <w:rPr>
          <w:rFonts w:ascii="Arial" w:hAnsi="Arial" w:cs="Arial"/>
          <w:sz w:val="20"/>
          <w:szCs w:val="20"/>
        </w:rPr>
        <w:t>Qualida</w:t>
      </w:r>
      <w:r w:rsidRPr="00E11D84">
        <w:rPr>
          <w:rStyle w:val="highlightedsearchterm"/>
          <w:rFonts w:ascii="Arial" w:hAnsi="Arial" w:cs="Arial"/>
          <w:sz w:val="20"/>
          <w:szCs w:val="20"/>
        </w:rPr>
        <w:t>de</w:t>
      </w:r>
      <w:r w:rsidRPr="00E11D84">
        <w:rPr>
          <w:rFonts w:ascii="Arial" w:hAnsi="Arial" w:cs="Arial"/>
          <w:sz w:val="20"/>
          <w:szCs w:val="20"/>
        </w:rPr>
        <w:t xml:space="preserve">: a composição química </w:t>
      </w:r>
      <w:r w:rsidRPr="00E11D84">
        <w:rPr>
          <w:rStyle w:val="highlightedsearchterm"/>
          <w:rFonts w:ascii="Arial" w:hAnsi="Arial" w:cs="Arial"/>
          <w:sz w:val="20"/>
          <w:szCs w:val="20"/>
        </w:rPr>
        <w:t>de</w:t>
      </w:r>
      <w:r w:rsidRPr="00E11D84">
        <w:rPr>
          <w:rFonts w:ascii="Arial" w:hAnsi="Arial" w:cs="Arial"/>
          <w:sz w:val="20"/>
          <w:szCs w:val="20"/>
        </w:rPr>
        <w:t xml:space="preserve">ssas águas é o resultado da composição original da água que infiltra, com a evolução físico-química influenciada pelas rochas atravessadas e pelo tempo </w:t>
      </w:r>
      <w:r w:rsidRPr="00E11D84">
        <w:rPr>
          <w:rStyle w:val="highlightedsearchterm"/>
          <w:rFonts w:ascii="Arial" w:hAnsi="Arial" w:cs="Arial"/>
          <w:sz w:val="20"/>
          <w:szCs w:val="20"/>
        </w:rPr>
        <w:t>de</w:t>
      </w:r>
      <w:r w:rsidRPr="00E11D84">
        <w:rPr>
          <w:rFonts w:ascii="Arial" w:hAnsi="Arial" w:cs="Arial"/>
          <w:sz w:val="20"/>
          <w:szCs w:val="20"/>
        </w:rPr>
        <w:t xml:space="preserve"> permanência no </w:t>
      </w:r>
      <w:proofErr w:type="spellStart"/>
      <w:r w:rsidRPr="00E11D84">
        <w:rPr>
          <w:rFonts w:ascii="Arial" w:hAnsi="Arial" w:cs="Arial"/>
          <w:sz w:val="20"/>
          <w:szCs w:val="20"/>
        </w:rPr>
        <w:t>aquífero</w:t>
      </w:r>
      <w:proofErr w:type="spellEnd"/>
      <w:r w:rsidRPr="00E11D84">
        <w:rPr>
          <w:rFonts w:ascii="Arial" w:hAnsi="Arial" w:cs="Arial"/>
          <w:sz w:val="20"/>
          <w:szCs w:val="20"/>
        </w:rPr>
        <w:t xml:space="preserve">. Por ocorrerem no subsolo, essas águas são naturalmente protegidas, mas não isentas </w:t>
      </w:r>
      <w:r w:rsidRPr="00E11D84">
        <w:rPr>
          <w:rStyle w:val="highlightedsearchterm"/>
          <w:rFonts w:ascii="Arial" w:hAnsi="Arial" w:cs="Arial"/>
          <w:sz w:val="20"/>
          <w:szCs w:val="20"/>
        </w:rPr>
        <w:t>de</w:t>
      </w:r>
      <w:r w:rsidRPr="00E11D84">
        <w:rPr>
          <w:rFonts w:ascii="Arial" w:hAnsi="Arial" w:cs="Arial"/>
          <w:sz w:val="20"/>
          <w:szCs w:val="20"/>
        </w:rPr>
        <w:t xml:space="preserve"> poluição e </w:t>
      </w:r>
      <w:r w:rsidRPr="00E11D84">
        <w:rPr>
          <w:rStyle w:val="highlightedsearchterm"/>
          <w:rFonts w:ascii="Arial" w:hAnsi="Arial" w:cs="Arial"/>
          <w:sz w:val="20"/>
          <w:szCs w:val="20"/>
        </w:rPr>
        <w:t>de</w:t>
      </w:r>
      <w:r w:rsidRPr="00E11D84">
        <w:rPr>
          <w:rFonts w:ascii="Arial" w:hAnsi="Arial" w:cs="Arial"/>
          <w:sz w:val="20"/>
          <w:szCs w:val="20"/>
        </w:rPr>
        <w:t xml:space="preserve"> contaminação;</w:t>
      </w:r>
    </w:p>
    <w:p w:rsidR="00E11D84" w:rsidRPr="00E11D84" w:rsidRDefault="00E11D84" w:rsidP="00E11D84">
      <w:pPr>
        <w:pStyle w:val="western"/>
        <w:spacing w:before="0" w:after="0"/>
        <w:ind w:left="567"/>
        <w:jc w:val="both"/>
        <w:rPr>
          <w:rFonts w:ascii="Arial" w:hAnsi="Arial" w:cs="Arial"/>
          <w:sz w:val="20"/>
          <w:szCs w:val="20"/>
        </w:rPr>
      </w:pPr>
    </w:p>
    <w:p w:rsidR="00E11D84" w:rsidRPr="00E11D84" w:rsidRDefault="00E11D84" w:rsidP="00E11D84">
      <w:pPr>
        <w:pStyle w:val="western"/>
        <w:numPr>
          <w:ilvl w:val="0"/>
          <w:numId w:val="26"/>
        </w:numPr>
        <w:spacing w:before="0" w:after="0"/>
        <w:ind w:left="567" w:hanging="284"/>
        <w:jc w:val="both"/>
        <w:rPr>
          <w:rFonts w:ascii="Arial" w:hAnsi="Arial" w:cs="Arial"/>
          <w:sz w:val="20"/>
          <w:szCs w:val="20"/>
        </w:rPr>
      </w:pPr>
      <w:r w:rsidRPr="00E11D84">
        <w:rPr>
          <w:rFonts w:ascii="Arial" w:hAnsi="Arial" w:cs="Arial"/>
          <w:sz w:val="20"/>
          <w:szCs w:val="20"/>
        </w:rPr>
        <w:t>Quantida</w:t>
      </w:r>
      <w:r w:rsidRPr="00E11D84">
        <w:rPr>
          <w:rStyle w:val="highlightedsearchterm"/>
          <w:rFonts w:ascii="Arial" w:hAnsi="Arial" w:cs="Arial"/>
          <w:sz w:val="20"/>
          <w:szCs w:val="20"/>
        </w:rPr>
        <w:t>de</w:t>
      </w:r>
      <w:r w:rsidRPr="00E11D84">
        <w:rPr>
          <w:rFonts w:ascii="Arial" w:hAnsi="Arial" w:cs="Arial"/>
          <w:sz w:val="20"/>
          <w:szCs w:val="20"/>
        </w:rPr>
        <w:t>: os volumes disponíveis como reservas po</w:t>
      </w:r>
      <w:r w:rsidRPr="00E11D84">
        <w:rPr>
          <w:rStyle w:val="highlightedsearchterm"/>
          <w:rFonts w:ascii="Arial" w:hAnsi="Arial" w:cs="Arial"/>
          <w:sz w:val="20"/>
          <w:szCs w:val="20"/>
        </w:rPr>
        <w:t>de</w:t>
      </w:r>
      <w:r w:rsidRPr="00E11D84">
        <w:rPr>
          <w:rFonts w:ascii="Arial" w:hAnsi="Arial" w:cs="Arial"/>
          <w:sz w:val="20"/>
          <w:szCs w:val="20"/>
        </w:rPr>
        <w:t>m ser muito gran</w:t>
      </w:r>
      <w:r w:rsidRPr="00E11D84">
        <w:rPr>
          <w:rStyle w:val="highlightedsearchterm"/>
          <w:rFonts w:ascii="Arial" w:hAnsi="Arial" w:cs="Arial"/>
          <w:sz w:val="20"/>
          <w:szCs w:val="20"/>
        </w:rPr>
        <w:t>de</w:t>
      </w:r>
      <w:r w:rsidRPr="00E11D84">
        <w:rPr>
          <w:rFonts w:ascii="Arial" w:hAnsi="Arial" w:cs="Arial"/>
          <w:sz w:val="20"/>
          <w:szCs w:val="20"/>
        </w:rPr>
        <w:t>s;</w:t>
      </w:r>
    </w:p>
    <w:p w:rsidR="00E11D84" w:rsidRPr="00E11D84" w:rsidRDefault="00E11D84" w:rsidP="00E11D84">
      <w:pPr>
        <w:pStyle w:val="western"/>
        <w:spacing w:before="0" w:after="0"/>
        <w:ind w:left="567"/>
        <w:jc w:val="both"/>
        <w:rPr>
          <w:rFonts w:ascii="Arial" w:hAnsi="Arial" w:cs="Arial"/>
          <w:sz w:val="20"/>
          <w:szCs w:val="20"/>
        </w:rPr>
      </w:pPr>
    </w:p>
    <w:p w:rsidR="00E11D84" w:rsidRPr="00E11D84" w:rsidRDefault="00E11D84" w:rsidP="00E11D84">
      <w:pPr>
        <w:pStyle w:val="western"/>
        <w:numPr>
          <w:ilvl w:val="0"/>
          <w:numId w:val="26"/>
        </w:numPr>
        <w:spacing w:before="0" w:after="0"/>
        <w:ind w:left="567" w:hanging="284"/>
        <w:jc w:val="both"/>
        <w:rPr>
          <w:rFonts w:ascii="Arial" w:hAnsi="Arial" w:cs="Arial"/>
          <w:sz w:val="20"/>
          <w:szCs w:val="20"/>
        </w:rPr>
      </w:pPr>
      <w:r w:rsidRPr="00E11D84">
        <w:rPr>
          <w:rFonts w:ascii="Arial" w:hAnsi="Arial" w:cs="Arial"/>
          <w:sz w:val="20"/>
          <w:szCs w:val="20"/>
        </w:rPr>
        <w:t>Usos: aten</w:t>
      </w:r>
      <w:r w:rsidRPr="00E11D84">
        <w:rPr>
          <w:rStyle w:val="highlightedsearchterm"/>
          <w:rFonts w:ascii="Arial" w:hAnsi="Arial" w:cs="Arial"/>
          <w:sz w:val="20"/>
          <w:szCs w:val="20"/>
        </w:rPr>
        <w:t>de</w:t>
      </w:r>
      <w:r w:rsidRPr="00E11D84">
        <w:rPr>
          <w:rFonts w:ascii="Arial" w:hAnsi="Arial" w:cs="Arial"/>
          <w:sz w:val="20"/>
          <w:szCs w:val="20"/>
        </w:rPr>
        <w:t xml:space="preserve">m a todos os padrões </w:t>
      </w:r>
      <w:r w:rsidRPr="00E11D84">
        <w:rPr>
          <w:rStyle w:val="highlightedsearchterm"/>
          <w:rFonts w:ascii="Arial" w:hAnsi="Arial" w:cs="Arial"/>
          <w:sz w:val="20"/>
          <w:szCs w:val="20"/>
        </w:rPr>
        <w:t>de</w:t>
      </w:r>
      <w:r w:rsidRPr="00E11D84">
        <w:rPr>
          <w:rFonts w:ascii="Arial" w:hAnsi="Arial" w:cs="Arial"/>
          <w:sz w:val="20"/>
          <w:szCs w:val="20"/>
        </w:rPr>
        <w:t xml:space="preserve"> usos para o abastecimento humano</w:t>
      </w:r>
      <w:r w:rsidR="009F7DA6">
        <w:rPr>
          <w:rFonts w:ascii="Arial" w:hAnsi="Arial" w:cs="Arial"/>
          <w:sz w:val="20"/>
          <w:szCs w:val="20"/>
        </w:rPr>
        <w:t xml:space="preserve"> e animal</w:t>
      </w:r>
      <w:r w:rsidRPr="00E11D84">
        <w:rPr>
          <w:rFonts w:ascii="Arial" w:hAnsi="Arial" w:cs="Arial"/>
          <w:sz w:val="20"/>
          <w:szCs w:val="20"/>
        </w:rPr>
        <w:t>, serviços, indústria, agricultura e lazer;</w:t>
      </w:r>
    </w:p>
    <w:p w:rsidR="00E11D84" w:rsidRPr="00E11D84" w:rsidRDefault="00E11D84" w:rsidP="00E11D84">
      <w:pPr>
        <w:pStyle w:val="western"/>
        <w:spacing w:before="0" w:after="0"/>
        <w:ind w:left="567"/>
        <w:jc w:val="both"/>
        <w:rPr>
          <w:rFonts w:ascii="Arial" w:hAnsi="Arial" w:cs="Arial"/>
          <w:sz w:val="20"/>
          <w:szCs w:val="20"/>
        </w:rPr>
      </w:pPr>
    </w:p>
    <w:p w:rsidR="00E11D84" w:rsidRPr="00E11D84" w:rsidRDefault="00E11D84" w:rsidP="00E11D84">
      <w:pPr>
        <w:pStyle w:val="western"/>
        <w:numPr>
          <w:ilvl w:val="0"/>
          <w:numId w:val="26"/>
        </w:numPr>
        <w:spacing w:before="0" w:after="0"/>
        <w:ind w:left="567" w:hanging="284"/>
        <w:jc w:val="both"/>
        <w:rPr>
          <w:rFonts w:ascii="Arial" w:hAnsi="Arial" w:cs="Arial"/>
          <w:sz w:val="20"/>
          <w:szCs w:val="20"/>
        </w:rPr>
      </w:pPr>
      <w:r w:rsidRPr="00E11D84">
        <w:rPr>
          <w:rFonts w:ascii="Arial" w:hAnsi="Arial" w:cs="Arial"/>
          <w:sz w:val="20"/>
          <w:szCs w:val="20"/>
        </w:rPr>
        <w:t xml:space="preserve">Custos: permitem a implantação </w:t>
      </w:r>
      <w:r w:rsidRPr="00E11D84">
        <w:rPr>
          <w:rStyle w:val="highlightedsearchterm"/>
          <w:rFonts w:ascii="Arial" w:hAnsi="Arial" w:cs="Arial"/>
          <w:sz w:val="20"/>
          <w:szCs w:val="20"/>
        </w:rPr>
        <w:t>de</w:t>
      </w:r>
      <w:r w:rsidRPr="00E11D84">
        <w:rPr>
          <w:rFonts w:ascii="Arial" w:hAnsi="Arial" w:cs="Arial"/>
          <w:sz w:val="20"/>
          <w:szCs w:val="20"/>
        </w:rPr>
        <w:t xml:space="preserve"> um sistema gradual ou em módulos </w:t>
      </w:r>
      <w:r w:rsidRPr="00E11D84">
        <w:rPr>
          <w:rStyle w:val="highlightedsearchterm"/>
          <w:rFonts w:ascii="Arial" w:hAnsi="Arial" w:cs="Arial"/>
          <w:sz w:val="20"/>
          <w:szCs w:val="20"/>
        </w:rPr>
        <w:t>de</w:t>
      </w:r>
      <w:r w:rsidR="00CF2F01">
        <w:rPr>
          <w:rFonts w:ascii="Arial" w:hAnsi="Arial" w:cs="Arial"/>
          <w:sz w:val="20"/>
          <w:szCs w:val="20"/>
        </w:rPr>
        <w:t xml:space="preserve"> aproveitamento, não tendo</w:t>
      </w:r>
      <w:r w:rsidRPr="00E11D84">
        <w:rPr>
          <w:rFonts w:ascii="Arial" w:hAnsi="Arial" w:cs="Arial"/>
          <w:sz w:val="20"/>
          <w:szCs w:val="20"/>
        </w:rPr>
        <w:t xml:space="preserve"> custo </w:t>
      </w:r>
      <w:r w:rsidRPr="00E11D84">
        <w:rPr>
          <w:rStyle w:val="highlightedsearchterm"/>
          <w:rFonts w:ascii="Arial" w:hAnsi="Arial" w:cs="Arial"/>
          <w:sz w:val="20"/>
          <w:szCs w:val="20"/>
        </w:rPr>
        <w:t>de</w:t>
      </w:r>
      <w:r w:rsidRPr="00E11D84">
        <w:rPr>
          <w:rFonts w:ascii="Arial" w:hAnsi="Arial" w:cs="Arial"/>
          <w:sz w:val="20"/>
          <w:szCs w:val="20"/>
        </w:rPr>
        <w:t xml:space="preserve"> armazenamento primário e, na maioria dos casos, </w:t>
      </w:r>
      <w:r w:rsidR="00062D9D">
        <w:rPr>
          <w:rFonts w:ascii="Arial" w:hAnsi="Arial" w:cs="Arial"/>
          <w:sz w:val="20"/>
          <w:szCs w:val="20"/>
        </w:rPr>
        <w:t xml:space="preserve">sem necessidade de </w:t>
      </w:r>
      <w:r w:rsidRPr="00E11D84">
        <w:rPr>
          <w:rFonts w:ascii="Arial" w:hAnsi="Arial" w:cs="Arial"/>
          <w:sz w:val="20"/>
          <w:szCs w:val="20"/>
        </w:rPr>
        <w:t xml:space="preserve">tratamento, assim como não há </w:t>
      </w:r>
      <w:proofErr w:type="spellStart"/>
      <w:r w:rsidRPr="00E11D84">
        <w:rPr>
          <w:rFonts w:ascii="Arial" w:hAnsi="Arial" w:cs="Arial"/>
          <w:sz w:val="20"/>
          <w:szCs w:val="20"/>
        </w:rPr>
        <w:t>necessida</w:t>
      </w:r>
      <w:r w:rsidRPr="00E11D84">
        <w:rPr>
          <w:rStyle w:val="highlightedsearchterm"/>
          <w:rFonts w:ascii="Arial" w:hAnsi="Arial" w:cs="Arial"/>
          <w:sz w:val="20"/>
          <w:szCs w:val="20"/>
        </w:rPr>
        <w:t>dedede</w:t>
      </w:r>
      <w:r w:rsidRPr="00E11D84">
        <w:rPr>
          <w:rFonts w:ascii="Arial" w:hAnsi="Arial" w:cs="Arial"/>
          <w:sz w:val="20"/>
          <w:szCs w:val="20"/>
        </w:rPr>
        <w:t>sapropriação</w:t>
      </w:r>
      <w:proofErr w:type="spellEnd"/>
      <w:r w:rsidRPr="00E11D84">
        <w:rPr>
          <w:rFonts w:ascii="Arial" w:hAnsi="Arial" w:cs="Arial"/>
          <w:sz w:val="20"/>
          <w:szCs w:val="20"/>
        </w:rPr>
        <w:t xml:space="preserve"> </w:t>
      </w:r>
      <w:r w:rsidRPr="00E11D84">
        <w:rPr>
          <w:rStyle w:val="highlightedsearchterm"/>
          <w:rFonts w:ascii="Arial" w:hAnsi="Arial" w:cs="Arial"/>
          <w:sz w:val="20"/>
          <w:szCs w:val="20"/>
        </w:rPr>
        <w:t>de</w:t>
      </w:r>
      <w:r w:rsidRPr="00E11D84">
        <w:rPr>
          <w:rFonts w:ascii="Arial" w:hAnsi="Arial" w:cs="Arial"/>
          <w:sz w:val="20"/>
          <w:szCs w:val="20"/>
        </w:rPr>
        <w:t xml:space="preserve"> gran</w:t>
      </w:r>
      <w:r w:rsidRPr="00E11D84">
        <w:rPr>
          <w:rStyle w:val="highlightedsearchterm"/>
          <w:rFonts w:ascii="Arial" w:hAnsi="Arial" w:cs="Arial"/>
          <w:sz w:val="20"/>
          <w:szCs w:val="20"/>
        </w:rPr>
        <w:t>de</w:t>
      </w:r>
      <w:r w:rsidRPr="00E11D84">
        <w:rPr>
          <w:rFonts w:ascii="Arial" w:hAnsi="Arial" w:cs="Arial"/>
          <w:sz w:val="20"/>
          <w:szCs w:val="20"/>
        </w:rPr>
        <w:t xml:space="preserve">s áreas como ocorre com um reservatório </w:t>
      </w:r>
      <w:r w:rsidRPr="00E11D84">
        <w:rPr>
          <w:rStyle w:val="highlightedsearchterm"/>
          <w:rFonts w:ascii="Arial" w:hAnsi="Arial" w:cs="Arial"/>
          <w:sz w:val="20"/>
          <w:szCs w:val="20"/>
        </w:rPr>
        <w:t>de</w:t>
      </w:r>
      <w:r w:rsidRPr="00E11D84">
        <w:rPr>
          <w:rFonts w:ascii="Arial" w:hAnsi="Arial" w:cs="Arial"/>
          <w:sz w:val="20"/>
          <w:szCs w:val="20"/>
        </w:rPr>
        <w:t xml:space="preserve"> superfície.</w:t>
      </w:r>
    </w:p>
    <w:p w:rsidR="00E11D84" w:rsidRPr="00E11D84" w:rsidRDefault="00E11D84" w:rsidP="00E11D84">
      <w:pPr>
        <w:pStyle w:val="western"/>
        <w:spacing w:before="0" w:after="0"/>
        <w:ind w:left="567"/>
        <w:jc w:val="both"/>
        <w:rPr>
          <w:rFonts w:ascii="Arial" w:hAnsi="Arial" w:cs="Arial"/>
          <w:sz w:val="20"/>
          <w:szCs w:val="20"/>
        </w:rPr>
      </w:pPr>
    </w:p>
    <w:p w:rsidR="00E11D84" w:rsidRPr="00E11D84" w:rsidRDefault="00E11D84" w:rsidP="00E11D84">
      <w:pPr>
        <w:pStyle w:val="western"/>
        <w:numPr>
          <w:ilvl w:val="0"/>
          <w:numId w:val="26"/>
        </w:numPr>
        <w:spacing w:before="0" w:after="0"/>
        <w:ind w:left="567" w:hanging="284"/>
        <w:jc w:val="both"/>
        <w:rPr>
          <w:rFonts w:ascii="Arial" w:hAnsi="Arial" w:cs="Arial"/>
          <w:sz w:val="20"/>
          <w:szCs w:val="20"/>
        </w:rPr>
      </w:pPr>
      <w:r w:rsidRPr="00E11D84">
        <w:rPr>
          <w:rFonts w:ascii="Arial" w:hAnsi="Arial" w:cs="Arial"/>
          <w:sz w:val="20"/>
          <w:szCs w:val="20"/>
        </w:rPr>
        <w:t xml:space="preserve">Vida útil: um poço, por ser </w:t>
      </w:r>
      <w:r w:rsidRPr="00A80ACF">
        <w:rPr>
          <w:rFonts w:ascii="Arial" w:hAnsi="Arial" w:cs="Arial"/>
          <w:sz w:val="20"/>
          <w:szCs w:val="20"/>
        </w:rPr>
        <w:t>um</w:t>
      </w:r>
      <w:r w:rsidR="005D00ED" w:rsidRPr="00A80ACF">
        <w:t xml:space="preserve"> </w:t>
      </w:r>
      <w:proofErr w:type="spellStart"/>
      <w:r w:rsidR="005D00ED" w:rsidRPr="00A80ACF">
        <w:t>serviço</w:t>
      </w:r>
      <w:r w:rsidRPr="00E11D84">
        <w:rPr>
          <w:rStyle w:val="highlightedsearchterm"/>
          <w:rFonts w:ascii="Arial" w:hAnsi="Arial" w:cs="Arial"/>
          <w:sz w:val="20"/>
          <w:szCs w:val="20"/>
        </w:rPr>
        <w:t>de</w:t>
      </w:r>
      <w:proofErr w:type="spellEnd"/>
      <w:r w:rsidRPr="00E11D84">
        <w:rPr>
          <w:rFonts w:ascii="Arial" w:hAnsi="Arial" w:cs="Arial"/>
          <w:sz w:val="20"/>
          <w:szCs w:val="20"/>
        </w:rPr>
        <w:t xml:space="preserve"> engenharia, se construído segundo as normas da Associação Brasileira </w:t>
      </w:r>
      <w:r w:rsidRPr="00E11D84">
        <w:rPr>
          <w:rStyle w:val="highlightedsearchterm"/>
          <w:rFonts w:ascii="Arial" w:hAnsi="Arial" w:cs="Arial"/>
          <w:sz w:val="20"/>
          <w:szCs w:val="20"/>
        </w:rPr>
        <w:t>de</w:t>
      </w:r>
      <w:r w:rsidRPr="00E11D84">
        <w:rPr>
          <w:rFonts w:ascii="Arial" w:hAnsi="Arial" w:cs="Arial"/>
          <w:sz w:val="20"/>
          <w:szCs w:val="20"/>
        </w:rPr>
        <w:t xml:space="preserve"> Normas Técnicas (ABNT), tem uma vida </w:t>
      </w:r>
      <w:r w:rsidR="00752D06">
        <w:rPr>
          <w:rFonts w:ascii="Arial" w:hAnsi="Arial" w:cs="Arial"/>
          <w:sz w:val="20"/>
          <w:szCs w:val="20"/>
        </w:rPr>
        <w:t xml:space="preserve">útil </w:t>
      </w:r>
      <w:r w:rsidRPr="00E11D84">
        <w:rPr>
          <w:rFonts w:ascii="Arial" w:hAnsi="Arial" w:cs="Arial"/>
          <w:sz w:val="20"/>
          <w:szCs w:val="20"/>
        </w:rPr>
        <w:t xml:space="preserve">média </w:t>
      </w:r>
      <w:r w:rsidRPr="00E11D84">
        <w:rPr>
          <w:rStyle w:val="highlightedsearchterm"/>
          <w:rFonts w:ascii="Arial" w:hAnsi="Arial" w:cs="Arial"/>
          <w:sz w:val="20"/>
          <w:szCs w:val="20"/>
        </w:rPr>
        <w:t>de</w:t>
      </w:r>
      <w:r w:rsidRPr="00E11D84">
        <w:rPr>
          <w:rFonts w:ascii="Arial" w:hAnsi="Arial" w:cs="Arial"/>
          <w:sz w:val="20"/>
          <w:szCs w:val="20"/>
        </w:rPr>
        <w:t xml:space="preserve"> 20 anos;</w:t>
      </w:r>
    </w:p>
    <w:p w:rsidR="00E11D84" w:rsidRPr="00E11D84" w:rsidRDefault="00E11D84" w:rsidP="00E11D84">
      <w:pPr>
        <w:pStyle w:val="western"/>
        <w:spacing w:before="0" w:after="0"/>
        <w:jc w:val="both"/>
        <w:rPr>
          <w:rFonts w:ascii="Arial" w:hAnsi="Arial" w:cs="Arial"/>
          <w:sz w:val="20"/>
          <w:szCs w:val="20"/>
        </w:rPr>
      </w:pPr>
    </w:p>
    <w:p w:rsidR="00E11D84" w:rsidRPr="00E11D84" w:rsidRDefault="00E11D84" w:rsidP="00E11D84">
      <w:pPr>
        <w:pStyle w:val="western"/>
        <w:numPr>
          <w:ilvl w:val="0"/>
          <w:numId w:val="26"/>
        </w:numPr>
        <w:spacing w:before="0" w:after="0"/>
        <w:ind w:left="567" w:hanging="284"/>
        <w:jc w:val="both"/>
        <w:rPr>
          <w:rFonts w:ascii="Arial" w:hAnsi="Arial" w:cs="Arial"/>
          <w:sz w:val="20"/>
          <w:szCs w:val="20"/>
        </w:rPr>
      </w:pPr>
      <w:r w:rsidRPr="00E11D84">
        <w:rPr>
          <w:rFonts w:ascii="Arial" w:hAnsi="Arial" w:cs="Arial"/>
          <w:sz w:val="20"/>
          <w:szCs w:val="20"/>
        </w:rPr>
        <w:t xml:space="preserve">Meio ambiente: os impactos ambientais negativos gerados pelo seu aproveitamento são </w:t>
      </w:r>
      <w:r w:rsidRPr="00E11D84">
        <w:rPr>
          <w:rStyle w:val="highlightedsearchterm"/>
          <w:rFonts w:ascii="Arial" w:hAnsi="Arial" w:cs="Arial"/>
          <w:sz w:val="20"/>
          <w:szCs w:val="20"/>
        </w:rPr>
        <w:t>de</w:t>
      </w:r>
      <w:r w:rsidRPr="00E11D84">
        <w:rPr>
          <w:rFonts w:ascii="Arial" w:hAnsi="Arial" w:cs="Arial"/>
          <w:sz w:val="20"/>
          <w:szCs w:val="20"/>
        </w:rPr>
        <w:t xml:space="preserve"> baixa magnitu</w:t>
      </w:r>
      <w:r w:rsidRPr="00E11D84">
        <w:rPr>
          <w:rStyle w:val="highlightedsearchterm"/>
          <w:rFonts w:ascii="Arial" w:hAnsi="Arial" w:cs="Arial"/>
          <w:sz w:val="20"/>
          <w:szCs w:val="20"/>
        </w:rPr>
        <w:t>de</w:t>
      </w:r>
      <w:r w:rsidRPr="00E11D84">
        <w:rPr>
          <w:rFonts w:ascii="Arial" w:hAnsi="Arial" w:cs="Arial"/>
          <w:sz w:val="20"/>
          <w:szCs w:val="20"/>
        </w:rPr>
        <w:t>.</w:t>
      </w:r>
    </w:p>
    <w:p w:rsidR="000845A2" w:rsidRPr="000845A2" w:rsidRDefault="000845A2" w:rsidP="000845A2">
      <w:pPr>
        <w:rPr>
          <w:szCs w:val="20"/>
        </w:rPr>
      </w:pPr>
    </w:p>
    <w:p w:rsidR="000845A2" w:rsidRDefault="000845A2" w:rsidP="000845A2">
      <w:pPr>
        <w:rPr>
          <w:szCs w:val="20"/>
        </w:rPr>
      </w:pPr>
      <w:r w:rsidRPr="000845A2">
        <w:rPr>
          <w:b/>
          <w:szCs w:val="20"/>
          <w:u w:val="single"/>
        </w:rPr>
        <w:t>Regime de execução</w:t>
      </w:r>
      <w:r w:rsidR="00381174">
        <w:rPr>
          <w:b/>
          <w:szCs w:val="20"/>
          <w:u w:val="single"/>
        </w:rPr>
        <w:t xml:space="preserve"> -</w:t>
      </w:r>
      <w:r w:rsidRPr="000845A2">
        <w:rPr>
          <w:b/>
          <w:szCs w:val="20"/>
          <w:u w:val="single"/>
        </w:rPr>
        <w:t xml:space="preserve"> Empreitada por Preços Unitários</w:t>
      </w:r>
      <w:r>
        <w:rPr>
          <w:szCs w:val="20"/>
        </w:rPr>
        <w:t xml:space="preserve">: </w:t>
      </w:r>
      <w:r w:rsidR="00182AC6">
        <w:rPr>
          <w:szCs w:val="20"/>
        </w:rPr>
        <w:t>P</w:t>
      </w:r>
      <w:r w:rsidRPr="000845A2">
        <w:rPr>
          <w:szCs w:val="20"/>
        </w:rPr>
        <w:t>reço certo de unidades determinadas. O pagamento será por medições das unidades efetivamente executadas.</w:t>
      </w:r>
    </w:p>
    <w:p w:rsidR="000845A2" w:rsidRPr="000845A2" w:rsidRDefault="000845A2" w:rsidP="000845A2">
      <w:pPr>
        <w:rPr>
          <w:szCs w:val="20"/>
        </w:rPr>
      </w:pPr>
    </w:p>
    <w:p w:rsidR="000845A2" w:rsidRPr="000845A2" w:rsidRDefault="000845A2" w:rsidP="000845A2">
      <w:pPr>
        <w:rPr>
          <w:szCs w:val="20"/>
        </w:rPr>
      </w:pPr>
      <w:r w:rsidRPr="000845A2">
        <w:rPr>
          <w:szCs w:val="20"/>
        </w:rPr>
        <w:t>Este regime de execução é o mais apropriado para o objeto da licitação, pois será pago somente os serviços efetivamente executados, mediante medições mensais, dos preços unitá</w:t>
      </w:r>
      <w:r>
        <w:rPr>
          <w:szCs w:val="20"/>
        </w:rPr>
        <w:t xml:space="preserve">rios propostos pela </w:t>
      </w:r>
      <w:r w:rsidRPr="00381174">
        <w:rPr>
          <w:caps/>
          <w:szCs w:val="20"/>
        </w:rPr>
        <w:t>contratada</w:t>
      </w:r>
      <w:r>
        <w:rPr>
          <w:szCs w:val="20"/>
        </w:rPr>
        <w:t>.</w:t>
      </w:r>
    </w:p>
    <w:p w:rsidR="00381174" w:rsidRPr="000845A2" w:rsidRDefault="00381174" w:rsidP="000845A2">
      <w:pPr>
        <w:rPr>
          <w:szCs w:val="20"/>
        </w:rPr>
      </w:pPr>
    </w:p>
    <w:p w:rsidR="000845A2" w:rsidRPr="000845A2" w:rsidRDefault="000845A2" w:rsidP="000845A2">
      <w:pPr>
        <w:rPr>
          <w:szCs w:val="20"/>
        </w:rPr>
      </w:pPr>
      <w:r w:rsidRPr="006C010E">
        <w:rPr>
          <w:b/>
          <w:szCs w:val="20"/>
          <w:u w:val="single"/>
        </w:rPr>
        <w:t>Declaração de compatibilidade com o Plano Plurianual</w:t>
      </w:r>
      <w:r w:rsidR="009D4A70">
        <w:rPr>
          <w:szCs w:val="20"/>
        </w:rPr>
        <w:t>:</w:t>
      </w:r>
    </w:p>
    <w:p w:rsidR="000845A2" w:rsidRPr="00BD3BA9" w:rsidRDefault="000845A2" w:rsidP="000845A2">
      <w:pPr>
        <w:rPr>
          <w:szCs w:val="20"/>
        </w:rPr>
      </w:pPr>
      <w:r w:rsidRPr="00BD3BA9">
        <w:rPr>
          <w:szCs w:val="20"/>
        </w:rPr>
        <w:t xml:space="preserve">Os serviços a serem contratados serão executados no prazo </w:t>
      </w:r>
      <w:r w:rsidR="00214515" w:rsidRPr="00BD3BA9">
        <w:rPr>
          <w:szCs w:val="20"/>
        </w:rPr>
        <w:t xml:space="preserve">NÃO </w:t>
      </w:r>
      <w:r w:rsidRPr="00BD3BA9">
        <w:rPr>
          <w:szCs w:val="20"/>
        </w:rPr>
        <w:t xml:space="preserve">superior a um ano, conforme consta do Termo de Referência e a previsão de recursos orçamentários </w:t>
      </w:r>
      <w:proofErr w:type="gramStart"/>
      <w:r w:rsidRPr="00BD3BA9">
        <w:rPr>
          <w:szCs w:val="20"/>
        </w:rPr>
        <w:t>é compatível</w:t>
      </w:r>
      <w:proofErr w:type="gramEnd"/>
      <w:r w:rsidRPr="00BD3BA9">
        <w:rPr>
          <w:szCs w:val="20"/>
        </w:rPr>
        <w:t>, conform</w:t>
      </w:r>
      <w:r w:rsidR="006C010E" w:rsidRPr="00BD3BA9">
        <w:rPr>
          <w:szCs w:val="20"/>
        </w:rPr>
        <w:t>e previsto no Plano Plurianual.</w:t>
      </w:r>
    </w:p>
    <w:p w:rsidR="00BD3BA9" w:rsidRDefault="00BD3BA9" w:rsidP="000845A2">
      <w:pPr>
        <w:rPr>
          <w:szCs w:val="20"/>
        </w:rPr>
      </w:pPr>
    </w:p>
    <w:p w:rsidR="00592D82" w:rsidRDefault="00592D82" w:rsidP="000845A2">
      <w:pPr>
        <w:rPr>
          <w:szCs w:val="20"/>
        </w:rPr>
      </w:pPr>
      <w:r>
        <w:rPr>
          <w:szCs w:val="20"/>
        </w:rPr>
        <w:t xml:space="preserve">Registra-se ainda que </w:t>
      </w:r>
      <w:r w:rsidR="00BD3BA9">
        <w:rPr>
          <w:szCs w:val="20"/>
        </w:rPr>
        <w:t xml:space="preserve">para </w:t>
      </w:r>
      <w:r>
        <w:rPr>
          <w:szCs w:val="20"/>
        </w:rPr>
        <w:t>o caso</w:t>
      </w:r>
      <w:r w:rsidR="00BD3BA9">
        <w:rPr>
          <w:szCs w:val="20"/>
        </w:rPr>
        <w:t xml:space="preserve"> do</w:t>
      </w:r>
      <w:r>
        <w:rPr>
          <w:szCs w:val="20"/>
        </w:rPr>
        <w:t xml:space="preserve"> Sistema de Registro de Preços</w:t>
      </w:r>
      <w:r w:rsidR="00BD3BA9">
        <w:rPr>
          <w:szCs w:val="20"/>
        </w:rPr>
        <w:t>,</w:t>
      </w:r>
      <w:r>
        <w:rPr>
          <w:szCs w:val="20"/>
        </w:rPr>
        <w:t xml:space="preserve"> o </w:t>
      </w:r>
      <w:r w:rsidR="00BD3BA9">
        <w:rPr>
          <w:szCs w:val="20"/>
        </w:rPr>
        <w:t>A</w:t>
      </w:r>
      <w:r>
        <w:rPr>
          <w:szCs w:val="20"/>
        </w:rPr>
        <w:t>rt. 7</w:t>
      </w:r>
      <w:r w:rsidR="00BD3BA9">
        <w:rPr>
          <w:szCs w:val="20"/>
        </w:rPr>
        <w:t>º</w:t>
      </w:r>
      <w:r>
        <w:rPr>
          <w:szCs w:val="20"/>
        </w:rPr>
        <w:t xml:space="preserve"> do Decreto nº. 7.892, de 23.01.13</w:t>
      </w:r>
      <w:r w:rsidR="00BD3BA9">
        <w:rPr>
          <w:szCs w:val="20"/>
        </w:rPr>
        <w:t>,</w:t>
      </w:r>
      <w:r>
        <w:rPr>
          <w:szCs w:val="20"/>
        </w:rPr>
        <w:t xml:space="preserve"> não é necessário indicar a dotação orçamentária que somente será exigida para a formalização do Contrato.</w:t>
      </w:r>
    </w:p>
    <w:p w:rsidR="00592D82" w:rsidRPr="000845A2" w:rsidRDefault="00592D82" w:rsidP="000845A2">
      <w:pPr>
        <w:rPr>
          <w:szCs w:val="20"/>
        </w:rPr>
      </w:pPr>
    </w:p>
    <w:p w:rsidR="00592D82" w:rsidRPr="00BD3BA9" w:rsidRDefault="00592D82" w:rsidP="00592D82">
      <w:pPr>
        <w:rPr>
          <w:i/>
          <w:szCs w:val="20"/>
        </w:rPr>
      </w:pPr>
      <w:r w:rsidRPr="00BD3BA9">
        <w:rPr>
          <w:i/>
          <w:szCs w:val="20"/>
        </w:rPr>
        <w:t xml:space="preserve">Art. 7º </w:t>
      </w:r>
      <w:r w:rsidR="00BD3BA9">
        <w:rPr>
          <w:i/>
          <w:szCs w:val="20"/>
        </w:rPr>
        <w:t>-</w:t>
      </w:r>
      <w:r w:rsidRPr="00BD3BA9">
        <w:rPr>
          <w:i/>
          <w:szCs w:val="20"/>
        </w:rPr>
        <w:t xml:space="preserve"> A licitação para registro de preços será realizada na modalidade de concorrência, do tipo m</w:t>
      </w:r>
      <w:r w:rsidR="004D3DBC">
        <w:rPr>
          <w:i/>
          <w:szCs w:val="20"/>
        </w:rPr>
        <w:t>aior desconto</w:t>
      </w:r>
      <w:r w:rsidRPr="00BD3BA9">
        <w:rPr>
          <w:i/>
          <w:szCs w:val="20"/>
        </w:rPr>
        <w:t xml:space="preserve">, nos termos </w:t>
      </w:r>
      <w:r w:rsidRPr="00773390">
        <w:rPr>
          <w:i/>
          <w:szCs w:val="20"/>
        </w:rPr>
        <w:t>da Lei nº 8.666, de 1993</w:t>
      </w:r>
      <w:r w:rsidRPr="00BD3BA9">
        <w:rPr>
          <w:i/>
          <w:szCs w:val="20"/>
        </w:rPr>
        <w:t xml:space="preserve">, ou na modalidade de pregão, nos termos da Lei nº 10.520, de 2002, e será precedida de ampla pesquisa de mercado. </w:t>
      </w:r>
    </w:p>
    <w:p w:rsidR="00592D82" w:rsidRPr="00592D82" w:rsidRDefault="00592D82" w:rsidP="00592D82">
      <w:pPr>
        <w:rPr>
          <w:szCs w:val="20"/>
        </w:rPr>
      </w:pPr>
      <w:r w:rsidRPr="00BD3BA9">
        <w:rPr>
          <w:i/>
          <w:szCs w:val="20"/>
        </w:rPr>
        <w:t>§ 2</w:t>
      </w:r>
      <w:r w:rsidR="00BD3BA9">
        <w:rPr>
          <w:i/>
          <w:szCs w:val="20"/>
        </w:rPr>
        <w:t>º -</w:t>
      </w:r>
      <w:r w:rsidRPr="00BD3BA9">
        <w:rPr>
          <w:i/>
          <w:szCs w:val="20"/>
        </w:rPr>
        <w:t xml:space="preserve"> Na licitação para registro de preços não é necessário indicar a dotação orçamentária, que somente será exigida para a formalização do contrato ou outro instrumento hábil.</w:t>
      </w:r>
    </w:p>
    <w:p w:rsidR="009D4A70" w:rsidRPr="000845A2" w:rsidRDefault="009D4A70" w:rsidP="000845A2">
      <w:pPr>
        <w:rPr>
          <w:szCs w:val="20"/>
        </w:rPr>
      </w:pPr>
    </w:p>
    <w:p w:rsidR="006176FB" w:rsidRDefault="000845A2" w:rsidP="000845A2">
      <w:pPr>
        <w:rPr>
          <w:szCs w:val="20"/>
        </w:rPr>
      </w:pPr>
      <w:r w:rsidRPr="009D4A70">
        <w:rPr>
          <w:b/>
          <w:szCs w:val="20"/>
          <w:u w:val="single"/>
        </w:rPr>
        <w:t>Desapropriação</w:t>
      </w:r>
      <w:r w:rsidR="006C010E">
        <w:rPr>
          <w:szCs w:val="20"/>
        </w:rPr>
        <w:t>:</w:t>
      </w:r>
      <w:r w:rsidRPr="000845A2">
        <w:rPr>
          <w:szCs w:val="20"/>
        </w:rPr>
        <w:t xml:space="preserve"> Não aplicável</w:t>
      </w:r>
      <w:r w:rsidR="00A91F02">
        <w:rPr>
          <w:szCs w:val="20"/>
        </w:rPr>
        <w:t>, tendo em vista que n</w:t>
      </w:r>
      <w:r w:rsidRPr="000845A2">
        <w:rPr>
          <w:szCs w:val="20"/>
        </w:rPr>
        <w:t xml:space="preserve">ão será necessária a desapropriação de imóveis particulares, </w:t>
      </w:r>
      <w:r w:rsidR="00A91F02">
        <w:rPr>
          <w:szCs w:val="20"/>
        </w:rPr>
        <w:t xml:space="preserve">assim </w:t>
      </w:r>
      <w:r w:rsidRPr="000845A2">
        <w:rPr>
          <w:szCs w:val="20"/>
        </w:rPr>
        <w:t>sendo desnecessári</w:t>
      </w:r>
      <w:r w:rsidR="006C010E">
        <w:rPr>
          <w:szCs w:val="20"/>
        </w:rPr>
        <w:t>a</w:t>
      </w:r>
      <w:r w:rsidRPr="000845A2">
        <w:rPr>
          <w:szCs w:val="20"/>
        </w:rPr>
        <w:t xml:space="preserve"> a elaboração do Projeto de Desapropriação.</w:t>
      </w:r>
    </w:p>
    <w:p w:rsidR="00FB07C3" w:rsidRDefault="00FB07C3" w:rsidP="000845A2">
      <w:pPr>
        <w:rPr>
          <w:szCs w:val="20"/>
        </w:rPr>
      </w:pPr>
    </w:p>
    <w:p w:rsidR="00FB07C3" w:rsidRDefault="00FB07C3" w:rsidP="000845A2">
      <w:r>
        <w:rPr>
          <w:b/>
          <w:szCs w:val="20"/>
          <w:u w:val="single"/>
        </w:rPr>
        <w:t xml:space="preserve">Justificativa </w:t>
      </w:r>
      <w:proofErr w:type="spellStart"/>
      <w:r>
        <w:rPr>
          <w:b/>
          <w:szCs w:val="20"/>
          <w:u w:val="single"/>
        </w:rPr>
        <w:t>vantajosidade</w:t>
      </w:r>
      <w:proofErr w:type="spellEnd"/>
      <w:r>
        <w:rPr>
          <w:b/>
          <w:szCs w:val="20"/>
          <w:u w:val="single"/>
        </w:rPr>
        <w:t xml:space="preserve"> do agrupamento</w:t>
      </w:r>
      <w:r w:rsidR="00087F19">
        <w:rPr>
          <w:b/>
          <w:szCs w:val="20"/>
          <w:u w:val="single"/>
        </w:rPr>
        <w:t xml:space="preserve"> dos itens constantes do objeto</w:t>
      </w:r>
      <w:r w:rsidR="002E5F23">
        <w:rPr>
          <w:b/>
          <w:szCs w:val="20"/>
          <w:u w:val="single"/>
        </w:rPr>
        <w:t xml:space="preserve"> da licitação em um lote</w:t>
      </w:r>
      <w:r w:rsidR="00087F19">
        <w:rPr>
          <w:b/>
          <w:szCs w:val="20"/>
          <w:u w:val="single"/>
        </w:rPr>
        <w:t xml:space="preserve"> único</w:t>
      </w:r>
      <w:r>
        <w:rPr>
          <w:b/>
          <w:szCs w:val="20"/>
          <w:u w:val="single"/>
        </w:rPr>
        <w:t xml:space="preserve">: </w:t>
      </w:r>
      <w:r w:rsidRPr="00722F72">
        <w:rPr>
          <w:szCs w:val="20"/>
        </w:rPr>
        <w:t>Em conformidade com as diretrizes e soluções adotadas no Projeto Básico</w:t>
      </w:r>
      <w:r w:rsidR="00413718" w:rsidRPr="00722F72">
        <w:rPr>
          <w:szCs w:val="20"/>
        </w:rPr>
        <w:t>,</w:t>
      </w:r>
      <w:r w:rsidR="00413718">
        <w:rPr>
          <w:szCs w:val="20"/>
        </w:rPr>
        <w:t xml:space="preserve"> o agrupamento dos itens</w:t>
      </w:r>
      <w:r w:rsidR="002E5F23">
        <w:rPr>
          <w:szCs w:val="20"/>
        </w:rPr>
        <w:t xml:space="preserve"> se deve a fatos inerentes à própria execução da obra, sendo que se os mesmos fossem licitados</w:t>
      </w:r>
      <w:r w:rsidR="00413718">
        <w:rPr>
          <w:szCs w:val="20"/>
        </w:rPr>
        <w:t xml:space="preserve"> separadamente, poderiam causar</w:t>
      </w:r>
      <w:r w:rsidR="002E5F23">
        <w:rPr>
          <w:szCs w:val="20"/>
        </w:rPr>
        <w:t xml:space="preserve"> prejuízos à Administração Pública</w:t>
      </w:r>
      <w:r w:rsidR="00722F72">
        <w:rPr>
          <w:szCs w:val="20"/>
        </w:rPr>
        <w:t xml:space="preserve"> e obstáculos</w:t>
      </w:r>
      <w:r w:rsidR="00A003B7">
        <w:rPr>
          <w:szCs w:val="20"/>
        </w:rPr>
        <w:t xml:space="preserve"> na execução do </w:t>
      </w:r>
      <w:proofErr w:type="gramStart"/>
      <w:r w:rsidR="00A003B7">
        <w:rPr>
          <w:szCs w:val="20"/>
        </w:rPr>
        <w:t>objeto.</w:t>
      </w:r>
      <w:proofErr w:type="gramEnd"/>
      <w:r w:rsidR="00DD6CD5">
        <w:rPr>
          <w:szCs w:val="20"/>
        </w:rPr>
        <w:t>Apesar da existência de 12 (doze) itens, há apenas um tipo de serviço (Perfuração e instalação de poç</w:t>
      </w:r>
      <w:r w:rsidR="00413718">
        <w:rPr>
          <w:szCs w:val="20"/>
        </w:rPr>
        <w:t xml:space="preserve">o tubular em rocha), distinguidos somente o tipo de rocha </w:t>
      </w:r>
      <w:r w:rsidR="0018655E">
        <w:rPr>
          <w:szCs w:val="20"/>
        </w:rPr>
        <w:t xml:space="preserve">a ser perfurada </w:t>
      </w:r>
      <w:r w:rsidR="00413718">
        <w:rPr>
          <w:szCs w:val="20"/>
        </w:rPr>
        <w:t>(calcária; cristalina/metassedimentar; sedimentar) e as potências das bombas do sistema (1,0 CV; 1,5 CV; 2,0 CV; ¾ CV)</w:t>
      </w:r>
      <w:r w:rsidR="0018655E">
        <w:rPr>
          <w:szCs w:val="20"/>
        </w:rPr>
        <w:t xml:space="preserve">. </w:t>
      </w:r>
      <w:r w:rsidR="00A003B7">
        <w:rPr>
          <w:szCs w:val="20"/>
        </w:rPr>
        <w:t>Os itens agrupados guardam compatibilidade entre si e consonância com a prática de mercado, uma vez que, muitas vezes na perfuração de um mesmo poço, são encontradas camadas horizontais dos três tipos de rocha citadas acima, onde a nomenclatura geológica adotada para aquela rocha se dá pe</w:t>
      </w:r>
      <w:r w:rsidR="00B53C64">
        <w:rPr>
          <w:szCs w:val="20"/>
        </w:rPr>
        <w:t xml:space="preserve">lo tipo com maior porcentual perfurado. </w:t>
      </w:r>
      <w:r w:rsidR="00A003B7">
        <w:rPr>
          <w:szCs w:val="20"/>
        </w:rPr>
        <w:t>Face ao exposto,</w:t>
      </w:r>
      <w:r w:rsidR="00B53C64">
        <w:rPr>
          <w:szCs w:val="20"/>
        </w:rPr>
        <w:t xml:space="preserve"> se fossemos separar a licitação em lotes/grupos devido à geologia da rocha, poderíamos ter problemas relacionados à execução do objeto, visto que seria inviável</w:t>
      </w:r>
      <w:r w:rsidR="00714566">
        <w:rPr>
          <w:szCs w:val="20"/>
        </w:rPr>
        <w:t>, tanto economicamente quanto pelo tempo que se gastaria</w:t>
      </w:r>
      <w:r w:rsidR="00722F72">
        <w:rPr>
          <w:szCs w:val="20"/>
        </w:rPr>
        <w:t>,</w:t>
      </w:r>
      <w:r w:rsidR="00714566">
        <w:rPr>
          <w:szCs w:val="20"/>
        </w:rPr>
        <w:t xml:space="preserve"> para que mais de uma empresa executasse</w:t>
      </w:r>
      <w:r w:rsidR="00B53C64">
        <w:rPr>
          <w:szCs w:val="20"/>
        </w:rPr>
        <w:t xml:space="preserve"> um único </w:t>
      </w:r>
      <w:proofErr w:type="gramStart"/>
      <w:r w:rsidR="00B53C64">
        <w:rPr>
          <w:szCs w:val="20"/>
        </w:rPr>
        <w:t>poço</w:t>
      </w:r>
      <w:r w:rsidR="00714566">
        <w:rPr>
          <w:szCs w:val="20"/>
        </w:rPr>
        <w:t>.</w:t>
      </w:r>
      <w:proofErr w:type="gramEnd"/>
      <w:r w:rsidR="0018655E">
        <w:rPr>
          <w:szCs w:val="20"/>
        </w:rPr>
        <w:t xml:space="preserve">Apesar do agrupamento dos itens, é assegurada a isonomia e a competitividade </w:t>
      </w:r>
      <w:r w:rsidR="00722F72">
        <w:rPr>
          <w:szCs w:val="20"/>
        </w:rPr>
        <w:t>no procedimento licit</w:t>
      </w:r>
      <w:r w:rsidR="00D57E47">
        <w:rPr>
          <w:szCs w:val="20"/>
        </w:rPr>
        <w:t xml:space="preserve">atório, dado que, seria inviável, como explanado acima, a separação do objeto em lotes ou grupos. </w:t>
      </w:r>
    </w:p>
    <w:p w:rsidR="00087F19" w:rsidRDefault="00087F19" w:rsidP="000845A2">
      <w:pPr>
        <w:rPr>
          <w:szCs w:val="20"/>
        </w:rPr>
      </w:pPr>
    </w:p>
    <w:p w:rsidR="00FB07C3" w:rsidRDefault="00FB07C3" w:rsidP="000845A2">
      <w:pPr>
        <w:rPr>
          <w:szCs w:val="20"/>
        </w:rPr>
      </w:pPr>
      <w:r w:rsidRPr="003C6C0A">
        <w:rPr>
          <w:b/>
          <w:szCs w:val="20"/>
          <w:u w:val="single"/>
        </w:rPr>
        <w:t>Diferença Mínima entre os Lances</w:t>
      </w:r>
      <w:r w:rsidRPr="003C6C0A">
        <w:rPr>
          <w:b/>
          <w:szCs w:val="20"/>
        </w:rPr>
        <w:t xml:space="preserve">: </w:t>
      </w:r>
      <w:r w:rsidRPr="003C6C0A">
        <w:rPr>
          <w:szCs w:val="20"/>
        </w:rPr>
        <w:t>Conforme Art. 31, § único do Decreto 10.024/2019 o interval</w:t>
      </w:r>
      <w:r w:rsidR="00483ED7">
        <w:rPr>
          <w:szCs w:val="20"/>
        </w:rPr>
        <w:t>o mínimo da diferença de percentual</w:t>
      </w:r>
      <w:r w:rsidRPr="003C6C0A">
        <w:rPr>
          <w:szCs w:val="20"/>
        </w:rPr>
        <w:t xml:space="preserve"> entre os lances, que incidirá tanto em relação aos lances intermediários quanto em relação ao lance que cobrir a melhor oferta, deverá ser </w:t>
      </w:r>
      <w:r w:rsidR="00483ED7">
        <w:rPr>
          <w:szCs w:val="20"/>
        </w:rPr>
        <w:t>de 0,5%</w:t>
      </w:r>
      <w:r w:rsidRPr="003C6C0A">
        <w:rPr>
          <w:szCs w:val="20"/>
        </w:rPr>
        <w:t>, devido</w:t>
      </w:r>
      <w:r w:rsidR="00483ED7">
        <w:rPr>
          <w:szCs w:val="20"/>
        </w:rPr>
        <w:t xml:space="preserve"> a</w:t>
      </w:r>
      <w:r w:rsidRPr="003C6C0A">
        <w:rPr>
          <w:szCs w:val="20"/>
        </w:rPr>
        <w:t xml:space="preserve"> este </w:t>
      </w:r>
      <w:r w:rsidR="00483ED7">
        <w:rPr>
          <w:szCs w:val="20"/>
        </w:rPr>
        <w:t xml:space="preserve">número </w:t>
      </w:r>
      <w:proofErr w:type="gramStart"/>
      <w:r w:rsidR="00483ED7">
        <w:rPr>
          <w:szCs w:val="20"/>
        </w:rPr>
        <w:t>representar</w:t>
      </w:r>
      <w:proofErr w:type="gramEnd"/>
      <w:r w:rsidR="00483ED7">
        <w:rPr>
          <w:szCs w:val="20"/>
        </w:rPr>
        <w:t xml:space="preserve"> um percentual</w:t>
      </w:r>
      <w:r w:rsidRPr="003C6C0A">
        <w:rPr>
          <w:szCs w:val="20"/>
        </w:rPr>
        <w:t xml:space="preserve"> confortável para as empresas reduzirem seus lances em relação ao último lance ofertado.</w:t>
      </w:r>
    </w:p>
    <w:p w:rsidR="009D4A70" w:rsidRDefault="009D4A70" w:rsidP="000845A2">
      <w:pPr>
        <w:rPr>
          <w:szCs w:val="20"/>
        </w:rPr>
      </w:pPr>
    </w:p>
    <w:p w:rsidR="00214515" w:rsidRDefault="000845A2" w:rsidP="000845A2">
      <w:pPr>
        <w:rPr>
          <w:szCs w:val="20"/>
        </w:rPr>
      </w:pPr>
      <w:r w:rsidRPr="00623317">
        <w:rPr>
          <w:b/>
          <w:szCs w:val="20"/>
          <w:u w:val="single"/>
        </w:rPr>
        <w:t>Critério de Julgamento</w:t>
      </w:r>
      <w:r w:rsidRPr="009E2794">
        <w:rPr>
          <w:szCs w:val="20"/>
        </w:rPr>
        <w:t xml:space="preserve">: </w:t>
      </w:r>
      <w:r w:rsidRPr="00AB1352">
        <w:rPr>
          <w:b/>
          <w:szCs w:val="20"/>
        </w:rPr>
        <w:t>M</w:t>
      </w:r>
      <w:r w:rsidR="004D3DBC">
        <w:rPr>
          <w:b/>
          <w:szCs w:val="20"/>
        </w:rPr>
        <w:t>aior Desconto</w:t>
      </w:r>
      <w:r w:rsidRPr="00AB1352">
        <w:rPr>
          <w:szCs w:val="20"/>
        </w:rPr>
        <w:t xml:space="preserve">, de acordo com o </w:t>
      </w:r>
      <w:r w:rsidR="00623317" w:rsidRPr="00AB1352">
        <w:rPr>
          <w:szCs w:val="20"/>
        </w:rPr>
        <w:t>A</w:t>
      </w:r>
      <w:r w:rsidRPr="00AB1352">
        <w:rPr>
          <w:szCs w:val="20"/>
        </w:rPr>
        <w:t>rt.</w:t>
      </w:r>
      <w:r w:rsidR="008E703E" w:rsidRPr="00AB1352">
        <w:rPr>
          <w:szCs w:val="20"/>
        </w:rPr>
        <w:t>54</w:t>
      </w:r>
      <w:r w:rsidRPr="00AB1352">
        <w:rPr>
          <w:szCs w:val="20"/>
        </w:rPr>
        <w:t xml:space="preserve"> da Lei n.º </w:t>
      </w:r>
      <w:r w:rsidR="008E703E" w:rsidRPr="00AB1352">
        <w:rPr>
          <w:szCs w:val="20"/>
        </w:rPr>
        <w:t>13.303</w:t>
      </w:r>
      <w:r w:rsidRPr="00AB1352">
        <w:rPr>
          <w:szCs w:val="20"/>
        </w:rPr>
        <w:t>/201</w:t>
      </w:r>
      <w:r w:rsidR="008E703E" w:rsidRPr="00AB1352">
        <w:rPr>
          <w:szCs w:val="20"/>
        </w:rPr>
        <w:t>6</w:t>
      </w:r>
      <w:r w:rsidR="00360C00">
        <w:rPr>
          <w:szCs w:val="20"/>
        </w:rPr>
        <w:t>, parágrafo 4, inciso II</w:t>
      </w:r>
      <w:r w:rsidR="00A63189" w:rsidRPr="00AB1352">
        <w:rPr>
          <w:szCs w:val="20"/>
        </w:rPr>
        <w:t>.</w:t>
      </w:r>
    </w:p>
    <w:p w:rsidR="009D4A70" w:rsidRDefault="009D4A70" w:rsidP="000845A2">
      <w:pPr>
        <w:rPr>
          <w:szCs w:val="20"/>
        </w:rPr>
      </w:pPr>
    </w:p>
    <w:p w:rsidR="00214515" w:rsidRDefault="00214515" w:rsidP="000845A2">
      <w:pPr>
        <w:rPr>
          <w:szCs w:val="20"/>
        </w:rPr>
      </w:pPr>
      <w:r w:rsidRPr="00BD3BA9">
        <w:rPr>
          <w:b/>
          <w:szCs w:val="20"/>
          <w:u w:val="single"/>
        </w:rPr>
        <w:t xml:space="preserve">Divulgação do valor </w:t>
      </w:r>
      <w:proofErr w:type="gramStart"/>
      <w:r w:rsidRPr="00BD3BA9">
        <w:rPr>
          <w:b/>
          <w:szCs w:val="20"/>
          <w:u w:val="single"/>
        </w:rPr>
        <w:t>orçado</w:t>
      </w:r>
      <w:r w:rsidRPr="003E4DEC">
        <w:rPr>
          <w:szCs w:val="20"/>
        </w:rPr>
        <w:t>:</w:t>
      </w:r>
      <w:proofErr w:type="gramEnd"/>
      <w:r w:rsidR="009D4A70">
        <w:rPr>
          <w:szCs w:val="20"/>
        </w:rPr>
        <w:t>Será divulgado o valor orçado para servir como base, t</w:t>
      </w:r>
      <w:r w:rsidRPr="00214515">
        <w:rPr>
          <w:szCs w:val="20"/>
        </w:rPr>
        <w:t xml:space="preserve">endo em vista o critério de julgamento de </w:t>
      </w:r>
      <w:r w:rsidR="00BD3BA9">
        <w:rPr>
          <w:szCs w:val="20"/>
        </w:rPr>
        <w:t>m</w:t>
      </w:r>
      <w:r w:rsidR="004D3DBC">
        <w:rPr>
          <w:szCs w:val="20"/>
        </w:rPr>
        <w:t>aior desconto</w:t>
      </w:r>
      <w:r>
        <w:rPr>
          <w:szCs w:val="20"/>
        </w:rPr>
        <w:t>.</w:t>
      </w:r>
    </w:p>
    <w:p w:rsidR="00623317" w:rsidRDefault="00623317" w:rsidP="000845A2">
      <w:pPr>
        <w:rPr>
          <w:szCs w:val="20"/>
        </w:rPr>
      </w:pPr>
    </w:p>
    <w:p w:rsidR="00623317" w:rsidRDefault="00623317" w:rsidP="00623317">
      <w:pPr>
        <w:rPr>
          <w:szCs w:val="20"/>
        </w:rPr>
      </w:pPr>
      <w:r w:rsidRPr="00623317">
        <w:rPr>
          <w:b/>
          <w:szCs w:val="20"/>
          <w:u w:val="single"/>
        </w:rPr>
        <w:t>Garantia do Objeto</w:t>
      </w:r>
      <w:r>
        <w:rPr>
          <w:szCs w:val="20"/>
        </w:rPr>
        <w:t xml:space="preserve">: A </w:t>
      </w:r>
      <w:r w:rsidRPr="000845A2">
        <w:rPr>
          <w:szCs w:val="20"/>
        </w:rPr>
        <w:t xml:space="preserve">garantia do objeto deverá obedecer ao prazo definido no Art. 618 do Código Civil, Lei </w:t>
      </w:r>
      <w:r>
        <w:rPr>
          <w:szCs w:val="20"/>
        </w:rPr>
        <w:t xml:space="preserve">nº </w:t>
      </w:r>
      <w:r w:rsidRPr="000845A2">
        <w:rPr>
          <w:szCs w:val="20"/>
        </w:rPr>
        <w:t xml:space="preserve">10.406 de 10 de janeiro de </w:t>
      </w:r>
      <w:proofErr w:type="gramStart"/>
      <w:r w:rsidRPr="000845A2">
        <w:rPr>
          <w:szCs w:val="20"/>
        </w:rPr>
        <w:t>2002.</w:t>
      </w:r>
      <w:proofErr w:type="gramEnd"/>
      <w:r w:rsidRPr="000845A2">
        <w:rPr>
          <w:szCs w:val="20"/>
        </w:rPr>
        <w:t>O empreiteiro responderá durante cinco anos, pela solidez e segurança do trabalho.</w:t>
      </w:r>
    </w:p>
    <w:p w:rsidR="00623317" w:rsidRPr="000845A2" w:rsidRDefault="00623317" w:rsidP="00623317">
      <w:pPr>
        <w:rPr>
          <w:szCs w:val="20"/>
        </w:rPr>
      </w:pPr>
    </w:p>
    <w:p w:rsidR="000845A2" w:rsidRPr="000845A2" w:rsidRDefault="000845A2" w:rsidP="000845A2">
      <w:pPr>
        <w:rPr>
          <w:szCs w:val="20"/>
        </w:rPr>
      </w:pPr>
      <w:r w:rsidRPr="00623317">
        <w:rPr>
          <w:b/>
          <w:szCs w:val="20"/>
          <w:u w:val="single"/>
        </w:rPr>
        <w:t>Garantia de Execução (caução)</w:t>
      </w:r>
      <w:r w:rsidR="00623317">
        <w:rPr>
          <w:szCs w:val="20"/>
        </w:rPr>
        <w:t xml:space="preserve">: </w:t>
      </w:r>
      <w:r w:rsidRPr="000845A2">
        <w:rPr>
          <w:szCs w:val="20"/>
        </w:rPr>
        <w:t xml:space="preserve">É necessário para fins de emissão da Ordem de </w:t>
      </w:r>
      <w:r w:rsidR="00EE36E7">
        <w:rPr>
          <w:szCs w:val="20"/>
        </w:rPr>
        <w:t>Serviço que a empresa contratada</w:t>
      </w:r>
      <w:r w:rsidRPr="000845A2">
        <w:rPr>
          <w:szCs w:val="20"/>
        </w:rPr>
        <w:t xml:space="preserve"> tenha apresentado a Garantia de Execução do Contrato</w:t>
      </w:r>
      <w:r w:rsidR="005537AC">
        <w:rPr>
          <w:szCs w:val="20"/>
        </w:rPr>
        <w:t>.</w:t>
      </w:r>
    </w:p>
    <w:p w:rsidR="009D4A70" w:rsidRPr="000845A2" w:rsidRDefault="009D4A70" w:rsidP="000845A2">
      <w:pPr>
        <w:rPr>
          <w:szCs w:val="20"/>
        </w:rPr>
      </w:pPr>
    </w:p>
    <w:p w:rsidR="00E27B5E" w:rsidRPr="00B67FDF" w:rsidRDefault="000845A2" w:rsidP="00E27B5E">
      <w:pPr>
        <w:pStyle w:val="Ttulo2"/>
        <w:numPr>
          <w:ilvl w:val="1"/>
          <w:numId w:val="24"/>
        </w:numPr>
        <w:ind w:left="0" w:firstLine="0"/>
      </w:pPr>
      <w:r w:rsidRPr="00623317">
        <w:rPr>
          <w:b/>
          <w:szCs w:val="20"/>
          <w:u w:val="single"/>
        </w:rPr>
        <w:t xml:space="preserve">Aprovação do </w:t>
      </w:r>
      <w:r w:rsidR="00623317">
        <w:rPr>
          <w:b/>
          <w:szCs w:val="20"/>
          <w:u w:val="single"/>
        </w:rPr>
        <w:t>P</w:t>
      </w:r>
      <w:r w:rsidRPr="00623317">
        <w:rPr>
          <w:b/>
          <w:szCs w:val="20"/>
          <w:u w:val="single"/>
        </w:rPr>
        <w:t xml:space="preserve">rojeto </w:t>
      </w:r>
      <w:r w:rsidR="00623317">
        <w:rPr>
          <w:b/>
          <w:szCs w:val="20"/>
          <w:u w:val="single"/>
        </w:rPr>
        <w:t>B</w:t>
      </w:r>
      <w:r w:rsidRPr="00623317">
        <w:rPr>
          <w:b/>
          <w:szCs w:val="20"/>
          <w:u w:val="single"/>
        </w:rPr>
        <w:t>ásico</w:t>
      </w:r>
      <w:r w:rsidR="00317435">
        <w:rPr>
          <w:b/>
          <w:szCs w:val="20"/>
          <w:u w:val="single"/>
        </w:rPr>
        <w:t xml:space="preserve"> e Planilhas Orçamentárias (Custo</w:t>
      </w:r>
      <w:proofErr w:type="gramStart"/>
      <w:r w:rsidR="00317435">
        <w:rPr>
          <w:b/>
          <w:szCs w:val="20"/>
          <w:u w:val="single"/>
        </w:rPr>
        <w:t>)</w:t>
      </w:r>
      <w:r w:rsidR="00623317">
        <w:rPr>
          <w:szCs w:val="20"/>
        </w:rPr>
        <w:t>:</w:t>
      </w:r>
      <w:proofErr w:type="gramEnd"/>
      <w:r w:rsidR="00BD3BA9" w:rsidRPr="00317435">
        <w:rPr>
          <w:szCs w:val="20"/>
        </w:rPr>
        <w:t>Aprovo o</w:t>
      </w:r>
      <w:r w:rsidRPr="00317435">
        <w:rPr>
          <w:szCs w:val="20"/>
        </w:rPr>
        <w:t xml:space="preserve"> projeto básico </w:t>
      </w:r>
      <w:r w:rsidR="00BD3BA9" w:rsidRPr="00317435">
        <w:rPr>
          <w:szCs w:val="20"/>
        </w:rPr>
        <w:t>presente nesse Termo de Referência</w:t>
      </w:r>
      <w:r w:rsidR="00803773" w:rsidRPr="00317435">
        <w:rPr>
          <w:szCs w:val="20"/>
        </w:rPr>
        <w:t>.</w:t>
      </w:r>
      <w:r w:rsidR="00BD3BA9" w:rsidRPr="00317435">
        <w:rPr>
          <w:szCs w:val="20"/>
        </w:rPr>
        <w:t xml:space="preserve"> Aprovo também os custos apresentados nas Planilhas Orçamentárias (</w:t>
      </w:r>
      <w:proofErr w:type="spellStart"/>
      <w:proofErr w:type="gramStart"/>
      <w:r w:rsidR="00BD3BA9" w:rsidRPr="00317435">
        <w:rPr>
          <w:szCs w:val="20"/>
        </w:rPr>
        <w:t>AnexoVI</w:t>
      </w:r>
      <w:proofErr w:type="spellEnd"/>
      <w:proofErr w:type="gramEnd"/>
      <w:r w:rsidR="00BD3BA9" w:rsidRPr="00317435">
        <w:rPr>
          <w:szCs w:val="20"/>
        </w:rPr>
        <w:t xml:space="preserve">), sendo condizentes com os </w:t>
      </w:r>
      <w:r w:rsidR="00B346AA">
        <w:rPr>
          <w:szCs w:val="20"/>
        </w:rPr>
        <w:t xml:space="preserve">preços </w:t>
      </w:r>
      <w:r w:rsidR="00BD3BA9" w:rsidRPr="00317435">
        <w:rPr>
          <w:szCs w:val="20"/>
        </w:rPr>
        <w:t>de mercado e referenciados nas planilhas oficiais de custo, conforme Decreto n</w:t>
      </w:r>
      <w:r w:rsidR="00BD3BA9" w:rsidRPr="00317435">
        <w:rPr>
          <w:szCs w:val="20"/>
          <w:vertAlign w:val="superscript"/>
        </w:rPr>
        <w:t>o</w:t>
      </w:r>
      <w:r w:rsidR="00BD3BA9" w:rsidRPr="00317435">
        <w:rPr>
          <w:szCs w:val="20"/>
        </w:rPr>
        <w:t xml:space="preserve">7.983 de 08.04.2013, </w:t>
      </w:r>
      <w:r w:rsidR="00E95658">
        <w:rPr>
          <w:szCs w:val="20"/>
        </w:rPr>
        <w:t xml:space="preserve">no valor de </w:t>
      </w:r>
      <w:r w:rsidR="00F022C2" w:rsidRPr="00052C54">
        <w:rPr>
          <w:b/>
          <w:szCs w:val="20"/>
          <w:u w:val="single"/>
          <w:lang w:eastAsia="pt-BR"/>
        </w:rPr>
        <w:t xml:space="preserve">R$ </w:t>
      </w:r>
      <w:r w:rsidR="00052C54" w:rsidRPr="00052C54">
        <w:rPr>
          <w:b/>
          <w:szCs w:val="20"/>
          <w:u w:val="single"/>
          <w:lang w:eastAsia="pt-BR"/>
        </w:rPr>
        <w:t>34</w:t>
      </w:r>
      <w:r w:rsidR="00F022C2" w:rsidRPr="00052C54">
        <w:rPr>
          <w:b/>
          <w:szCs w:val="20"/>
          <w:u w:val="single"/>
          <w:lang w:eastAsia="pt-BR"/>
        </w:rPr>
        <w:t>.</w:t>
      </w:r>
      <w:r w:rsidR="00052C54" w:rsidRPr="00052C54">
        <w:rPr>
          <w:b/>
          <w:szCs w:val="20"/>
          <w:u w:val="single"/>
          <w:lang w:eastAsia="pt-BR"/>
        </w:rPr>
        <w:t>364</w:t>
      </w:r>
      <w:r w:rsidR="00F022C2" w:rsidRPr="00052C54">
        <w:rPr>
          <w:b/>
          <w:szCs w:val="20"/>
          <w:u w:val="single"/>
          <w:lang w:eastAsia="pt-BR"/>
        </w:rPr>
        <w:t>.1</w:t>
      </w:r>
      <w:r w:rsidR="00052C54" w:rsidRPr="00052C54">
        <w:rPr>
          <w:b/>
          <w:szCs w:val="20"/>
          <w:u w:val="single"/>
          <w:lang w:eastAsia="pt-BR"/>
        </w:rPr>
        <w:t>54,8</w:t>
      </w:r>
      <w:r w:rsidR="00F022C2" w:rsidRPr="00052C54">
        <w:rPr>
          <w:b/>
          <w:szCs w:val="20"/>
          <w:u w:val="single"/>
          <w:lang w:eastAsia="pt-BR"/>
        </w:rPr>
        <w:t>0 (</w:t>
      </w:r>
      <w:r w:rsidR="00052C54" w:rsidRPr="00052C54">
        <w:rPr>
          <w:b/>
          <w:szCs w:val="20"/>
          <w:u w:val="single"/>
          <w:lang w:eastAsia="pt-BR"/>
        </w:rPr>
        <w:t>trinta e quatro</w:t>
      </w:r>
      <w:r w:rsidR="00F022C2" w:rsidRPr="00052C54">
        <w:rPr>
          <w:b/>
          <w:szCs w:val="20"/>
          <w:u w:val="single"/>
          <w:lang w:eastAsia="pt-BR"/>
        </w:rPr>
        <w:t xml:space="preserve"> milhões, </w:t>
      </w:r>
      <w:r w:rsidR="00052C54" w:rsidRPr="00052C54">
        <w:rPr>
          <w:b/>
          <w:szCs w:val="20"/>
          <w:u w:val="single"/>
          <w:lang w:eastAsia="pt-BR"/>
        </w:rPr>
        <w:t xml:space="preserve">trezentos e sessenta e quatro </w:t>
      </w:r>
      <w:r w:rsidR="00F022C2" w:rsidRPr="00052C54">
        <w:rPr>
          <w:b/>
          <w:szCs w:val="20"/>
          <w:u w:val="single"/>
          <w:lang w:eastAsia="pt-BR"/>
        </w:rPr>
        <w:t xml:space="preserve">mil, cento e </w:t>
      </w:r>
      <w:proofErr w:type="spellStart"/>
      <w:r w:rsidR="00052C54" w:rsidRPr="00052C54">
        <w:rPr>
          <w:b/>
          <w:szCs w:val="20"/>
          <w:u w:val="single"/>
          <w:lang w:eastAsia="pt-BR"/>
        </w:rPr>
        <w:t>cinquenta</w:t>
      </w:r>
      <w:proofErr w:type="spellEnd"/>
      <w:r w:rsidR="00052C54" w:rsidRPr="00052C54">
        <w:rPr>
          <w:b/>
          <w:szCs w:val="20"/>
          <w:u w:val="single"/>
          <w:lang w:eastAsia="pt-BR"/>
        </w:rPr>
        <w:t xml:space="preserve"> e quatro reais </w:t>
      </w:r>
      <w:proofErr w:type="spellStart"/>
      <w:r w:rsidR="00052C54" w:rsidRPr="00052C54">
        <w:rPr>
          <w:b/>
          <w:szCs w:val="20"/>
          <w:u w:val="single"/>
          <w:lang w:eastAsia="pt-BR"/>
        </w:rPr>
        <w:t>eoitenta</w:t>
      </w:r>
      <w:proofErr w:type="spellEnd"/>
      <w:r w:rsidR="00052C54" w:rsidRPr="00052C54">
        <w:rPr>
          <w:b/>
          <w:szCs w:val="20"/>
          <w:u w:val="single"/>
          <w:lang w:eastAsia="pt-BR"/>
        </w:rPr>
        <w:t xml:space="preserve"> centavos</w:t>
      </w:r>
      <w:r w:rsidR="00F022C2" w:rsidRPr="00052C54">
        <w:rPr>
          <w:b/>
          <w:szCs w:val="20"/>
          <w:u w:val="single"/>
          <w:lang w:eastAsia="pt-BR"/>
        </w:rPr>
        <w:t>)</w:t>
      </w:r>
      <w:r w:rsidR="0086511E" w:rsidRPr="00052C54">
        <w:rPr>
          <w:lang w:eastAsia="pt-BR"/>
        </w:rPr>
        <w:t>,</w:t>
      </w:r>
      <w:r w:rsidR="00E27B5E" w:rsidRPr="007B39F4">
        <w:rPr>
          <w:b/>
        </w:rPr>
        <w:t xml:space="preserve">SINAPI – </w:t>
      </w:r>
      <w:r w:rsidR="00E31C67" w:rsidRPr="007B39F4">
        <w:rPr>
          <w:b/>
        </w:rPr>
        <w:t>julho</w:t>
      </w:r>
      <w:r w:rsidR="00E27B5E" w:rsidRPr="007B39F4">
        <w:rPr>
          <w:b/>
        </w:rPr>
        <w:t>/20</w:t>
      </w:r>
      <w:r w:rsidR="00F11DDE" w:rsidRPr="007B39F4">
        <w:rPr>
          <w:b/>
        </w:rPr>
        <w:t>21</w:t>
      </w:r>
      <w:r w:rsidR="00E27B5E" w:rsidRPr="007B39F4">
        <w:t xml:space="preserve">; </w:t>
      </w:r>
      <w:r w:rsidR="00E27B5E" w:rsidRPr="007B39F4">
        <w:rPr>
          <w:b/>
          <w:szCs w:val="20"/>
        </w:rPr>
        <w:t>ORSE - Ju</w:t>
      </w:r>
      <w:r w:rsidR="00F11DDE" w:rsidRPr="007B39F4">
        <w:rPr>
          <w:b/>
          <w:szCs w:val="20"/>
        </w:rPr>
        <w:t>nho</w:t>
      </w:r>
      <w:r w:rsidR="00E27B5E" w:rsidRPr="007B39F4">
        <w:rPr>
          <w:b/>
          <w:szCs w:val="20"/>
        </w:rPr>
        <w:t>/20</w:t>
      </w:r>
      <w:r w:rsidR="00F11DDE" w:rsidRPr="007B39F4">
        <w:rPr>
          <w:b/>
          <w:szCs w:val="20"/>
        </w:rPr>
        <w:t>21</w:t>
      </w:r>
      <w:r w:rsidR="00E27B5E">
        <w:rPr>
          <w:szCs w:val="20"/>
        </w:rPr>
        <w:t xml:space="preserve"> e cotações específicas de mercado</w:t>
      </w:r>
      <w:r w:rsidR="00E27B5E" w:rsidRPr="0069690D">
        <w:t xml:space="preserve"> para o estado da</w:t>
      </w:r>
      <w:r w:rsidR="00E27B5E">
        <w:t xml:space="preserve"> Bahia</w:t>
      </w:r>
      <w:r w:rsidR="00E27B5E" w:rsidRPr="0069690D">
        <w:t>,</w:t>
      </w:r>
      <w:r w:rsidR="00E27B5E" w:rsidRPr="00B67FDF">
        <w:t>atendendo ao disposto no Decreto nº 7.983, de 08/04/2013, já inclusos o BDI, encargos sociais,</w:t>
      </w:r>
      <w:r w:rsidR="00E27B5E">
        <w:t xml:space="preserve"> taxas, impostos e emolumentos.</w:t>
      </w:r>
    </w:p>
    <w:p w:rsidR="000845A2" w:rsidRPr="00257A6E" w:rsidRDefault="000845A2" w:rsidP="000845A2">
      <w:pPr>
        <w:rPr>
          <w:szCs w:val="20"/>
        </w:rPr>
      </w:pPr>
    </w:p>
    <w:p w:rsidR="00FC2146" w:rsidRPr="0047236C" w:rsidRDefault="00083632" w:rsidP="00FC2146">
      <w:pPr>
        <w:rPr>
          <w:color w:val="FF0000"/>
          <w:szCs w:val="20"/>
        </w:rPr>
      </w:pPr>
      <w:r>
        <w:rPr>
          <w:b/>
          <w:szCs w:val="20"/>
          <w:u w:val="single"/>
        </w:rPr>
        <w:t>Qualificação Técnica</w:t>
      </w:r>
      <w:r w:rsidRPr="009D4A70">
        <w:rPr>
          <w:b/>
          <w:szCs w:val="20"/>
        </w:rPr>
        <w:t xml:space="preserve">: </w:t>
      </w:r>
      <w:r w:rsidR="00FC2146" w:rsidRPr="00134C56">
        <w:rPr>
          <w:szCs w:val="20"/>
        </w:rPr>
        <w:t xml:space="preserve">As exigências técnicas são imprescindíveis para que a vencedora do certame em questão tenha total capacidade técnica de executar </w:t>
      </w:r>
      <w:r w:rsidR="00A91F02">
        <w:rPr>
          <w:szCs w:val="20"/>
        </w:rPr>
        <w:t>os serviços de engenharia</w:t>
      </w:r>
      <w:r w:rsidR="00FC2146" w:rsidRPr="00134C56">
        <w:rPr>
          <w:szCs w:val="20"/>
        </w:rPr>
        <w:t xml:space="preserve"> com a segurança e a qualidade esperada para o empreendimento.</w:t>
      </w:r>
    </w:p>
    <w:p w:rsidR="00FC2146" w:rsidRDefault="00FC2146" w:rsidP="00FC2146">
      <w:pPr>
        <w:rPr>
          <w:szCs w:val="20"/>
        </w:rPr>
      </w:pPr>
    </w:p>
    <w:p w:rsidR="00FF2E0D" w:rsidRPr="009D4A70" w:rsidRDefault="00FC2146" w:rsidP="00FC2146">
      <w:pPr>
        <w:rPr>
          <w:szCs w:val="20"/>
        </w:rPr>
      </w:pPr>
      <w:r w:rsidRPr="009D4A70">
        <w:rPr>
          <w:b/>
          <w:szCs w:val="20"/>
          <w:u w:val="single"/>
        </w:rPr>
        <w:t xml:space="preserve">Licença </w:t>
      </w:r>
      <w:proofErr w:type="gramStart"/>
      <w:r w:rsidRPr="009D4A70">
        <w:rPr>
          <w:b/>
          <w:szCs w:val="20"/>
          <w:u w:val="single"/>
        </w:rPr>
        <w:t>Ambiental</w:t>
      </w:r>
      <w:r w:rsidRPr="009D4A70">
        <w:rPr>
          <w:b/>
          <w:szCs w:val="20"/>
        </w:rPr>
        <w:t>:</w:t>
      </w:r>
      <w:proofErr w:type="gramEnd"/>
      <w:r w:rsidR="009D4A70" w:rsidRPr="009D4A70">
        <w:rPr>
          <w:szCs w:val="20"/>
        </w:rPr>
        <w:t xml:space="preserve">Deverá ser </w:t>
      </w:r>
      <w:proofErr w:type="spellStart"/>
      <w:r w:rsidR="00541599" w:rsidRPr="009D4A70">
        <w:rPr>
          <w:szCs w:val="20"/>
        </w:rPr>
        <w:t>solicita</w:t>
      </w:r>
      <w:r w:rsidR="00F72F73" w:rsidRPr="009D4A70">
        <w:rPr>
          <w:szCs w:val="20"/>
        </w:rPr>
        <w:t>d</w:t>
      </w:r>
      <w:r w:rsidR="009D4A70" w:rsidRPr="009D4A70">
        <w:rPr>
          <w:szCs w:val="20"/>
        </w:rPr>
        <w:t>aAnuência</w:t>
      </w:r>
      <w:proofErr w:type="spellEnd"/>
      <w:r w:rsidR="009D4A70" w:rsidRPr="009D4A70">
        <w:rPr>
          <w:szCs w:val="20"/>
        </w:rPr>
        <w:t xml:space="preserve"> Ambiental (</w:t>
      </w:r>
      <w:r w:rsidRPr="009D4A70">
        <w:rPr>
          <w:szCs w:val="20"/>
        </w:rPr>
        <w:t xml:space="preserve">Licença Ambiental </w:t>
      </w:r>
      <w:r w:rsidR="00F72F73" w:rsidRPr="009D4A70">
        <w:rPr>
          <w:szCs w:val="20"/>
        </w:rPr>
        <w:t xml:space="preserve">ou </w:t>
      </w:r>
      <w:r w:rsidR="009D4A70" w:rsidRPr="009D4A70">
        <w:rPr>
          <w:szCs w:val="20"/>
        </w:rPr>
        <w:t>D</w:t>
      </w:r>
      <w:r w:rsidR="00F72F73" w:rsidRPr="009D4A70">
        <w:rPr>
          <w:szCs w:val="20"/>
        </w:rPr>
        <w:t>ispensa</w:t>
      </w:r>
      <w:r w:rsidR="009D4A70" w:rsidRPr="009D4A70">
        <w:rPr>
          <w:szCs w:val="20"/>
        </w:rPr>
        <w:t xml:space="preserve"> de Licenciamento)</w:t>
      </w:r>
      <w:r w:rsidRPr="009D4A70">
        <w:rPr>
          <w:szCs w:val="20"/>
        </w:rPr>
        <w:t xml:space="preserve">junto </w:t>
      </w:r>
      <w:r w:rsidR="009D4A70" w:rsidRPr="009D4A70">
        <w:rPr>
          <w:szCs w:val="20"/>
        </w:rPr>
        <w:t>ao município ao qual serão executados os serviços de engenharia objeto desse TR</w:t>
      </w:r>
      <w:r w:rsidR="00541599" w:rsidRPr="009D4A70">
        <w:rPr>
          <w:szCs w:val="20"/>
        </w:rPr>
        <w:t xml:space="preserve">, </w:t>
      </w:r>
      <w:r w:rsidR="009D4A70" w:rsidRPr="009D4A70">
        <w:rPr>
          <w:szCs w:val="20"/>
        </w:rPr>
        <w:t>por meio d</w:t>
      </w:r>
      <w:r w:rsidR="00E80D32" w:rsidRPr="009D4A70">
        <w:rPr>
          <w:szCs w:val="20"/>
        </w:rPr>
        <w:t xml:space="preserve">o </w:t>
      </w:r>
      <w:r w:rsidR="00541599" w:rsidRPr="009D4A70">
        <w:rPr>
          <w:szCs w:val="20"/>
        </w:rPr>
        <w:t>ó</w:t>
      </w:r>
      <w:r w:rsidRPr="009D4A70">
        <w:rPr>
          <w:szCs w:val="20"/>
        </w:rPr>
        <w:t xml:space="preserve">rgão </w:t>
      </w:r>
      <w:r w:rsidR="00541599" w:rsidRPr="009D4A70">
        <w:rPr>
          <w:szCs w:val="20"/>
        </w:rPr>
        <w:t>r</w:t>
      </w:r>
      <w:r w:rsidRPr="009D4A70">
        <w:rPr>
          <w:szCs w:val="20"/>
        </w:rPr>
        <w:t>es</w:t>
      </w:r>
      <w:r w:rsidR="00667D4E">
        <w:rPr>
          <w:szCs w:val="20"/>
        </w:rPr>
        <w:t>ponsável pela emissão da mesma.</w:t>
      </w:r>
    </w:p>
    <w:p w:rsidR="00F72F73" w:rsidRDefault="00F72F73" w:rsidP="00FC2146">
      <w:pPr>
        <w:rPr>
          <w:b/>
          <w:szCs w:val="20"/>
        </w:rPr>
      </w:pPr>
    </w:p>
    <w:p w:rsidR="00F72F73" w:rsidRPr="009D4A70" w:rsidRDefault="00F72F73" w:rsidP="00FC2146">
      <w:pPr>
        <w:rPr>
          <w:szCs w:val="20"/>
        </w:rPr>
      </w:pPr>
      <w:r w:rsidRPr="009D4A70">
        <w:rPr>
          <w:szCs w:val="20"/>
        </w:rPr>
        <w:t>O</w:t>
      </w:r>
      <w:r w:rsidR="009D4A70">
        <w:rPr>
          <w:szCs w:val="20"/>
        </w:rPr>
        <w:t>bs.</w:t>
      </w:r>
      <w:r w:rsidRPr="009D4A70">
        <w:rPr>
          <w:szCs w:val="20"/>
        </w:rPr>
        <w:t xml:space="preserve">: Quando dispensável a licença </w:t>
      </w:r>
      <w:r w:rsidR="009D4A70">
        <w:rPr>
          <w:szCs w:val="20"/>
        </w:rPr>
        <w:t xml:space="preserve">deverá ser indicada, e anexada ao processo, </w:t>
      </w:r>
      <w:proofErr w:type="gramStart"/>
      <w:r w:rsidRPr="009D4A70">
        <w:rPr>
          <w:szCs w:val="20"/>
        </w:rPr>
        <w:t>a</w:t>
      </w:r>
      <w:proofErr w:type="gramEnd"/>
      <w:r w:rsidRPr="009D4A70">
        <w:rPr>
          <w:szCs w:val="20"/>
        </w:rPr>
        <w:t xml:space="preserve"> base legal da dispensa.</w:t>
      </w:r>
    </w:p>
    <w:p w:rsidR="00F72F73" w:rsidRDefault="00F72F73" w:rsidP="00FC2146">
      <w:pPr>
        <w:rPr>
          <w:b/>
          <w:szCs w:val="20"/>
        </w:rPr>
      </w:pPr>
    </w:p>
    <w:p w:rsidR="00101C82" w:rsidRDefault="00101C82" w:rsidP="00101C82">
      <w:pPr>
        <w:rPr>
          <w:szCs w:val="20"/>
        </w:rPr>
      </w:pPr>
      <w:r>
        <w:rPr>
          <w:b/>
          <w:szCs w:val="20"/>
          <w:u w:val="single"/>
        </w:rPr>
        <w:t>Regularização Fundiária</w:t>
      </w:r>
      <w:r w:rsidRPr="009D4A70">
        <w:rPr>
          <w:b/>
          <w:szCs w:val="20"/>
        </w:rPr>
        <w:t xml:space="preserve">: </w:t>
      </w:r>
      <w:r w:rsidRPr="00101C82">
        <w:rPr>
          <w:szCs w:val="20"/>
        </w:rPr>
        <w:t>Deverá ser informado em que situação se encontra e a responsabilidade da regularização fundiária em especial nos casos de perfuração de poços.</w:t>
      </w:r>
    </w:p>
    <w:p w:rsidR="001411E1" w:rsidRDefault="001411E1" w:rsidP="00101C82">
      <w:pPr>
        <w:rPr>
          <w:szCs w:val="20"/>
        </w:rPr>
      </w:pPr>
    </w:p>
    <w:p w:rsidR="001411E1" w:rsidRDefault="001411E1" w:rsidP="00101C82">
      <w:pPr>
        <w:rPr>
          <w:szCs w:val="20"/>
        </w:rPr>
      </w:pPr>
      <w:r>
        <w:rPr>
          <w:b/>
          <w:szCs w:val="20"/>
          <w:u w:val="single"/>
        </w:rPr>
        <w:t>Código BR CATSERV</w:t>
      </w:r>
      <w:r w:rsidRPr="009D4A70">
        <w:rPr>
          <w:b/>
          <w:szCs w:val="20"/>
        </w:rPr>
        <w:t xml:space="preserve">: </w:t>
      </w:r>
      <w:r>
        <w:rPr>
          <w:szCs w:val="20"/>
        </w:rPr>
        <w:t>O código BR CATSERV indicado para o cadastro dos itens da IRP e posterior publicação do edital é o BR 22225.</w:t>
      </w:r>
    </w:p>
    <w:p w:rsidR="002D27E9" w:rsidRDefault="002D27E9" w:rsidP="00101C82">
      <w:pPr>
        <w:rPr>
          <w:szCs w:val="20"/>
        </w:rPr>
      </w:pPr>
    </w:p>
    <w:p w:rsidR="002D27E9" w:rsidRDefault="002D27E9" w:rsidP="00FC2146">
      <w:pPr>
        <w:rPr>
          <w:szCs w:val="20"/>
        </w:rPr>
      </w:pPr>
      <w:r>
        <w:rPr>
          <w:b/>
          <w:szCs w:val="20"/>
          <w:u w:val="single"/>
        </w:rPr>
        <w:t>Permite Participação de Consórcio</w:t>
      </w:r>
      <w:r w:rsidRPr="009D4A70">
        <w:rPr>
          <w:b/>
          <w:szCs w:val="20"/>
        </w:rPr>
        <w:t xml:space="preserve">: </w:t>
      </w:r>
      <w:r>
        <w:rPr>
          <w:b/>
          <w:szCs w:val="20"/>
        </w:rPr>
        <w:t xml:space="preserve">Não: </w:t>
      </w:r>
      <w:r w:rsidRPr="002D27E9">
        <w:rPr>
          <w:szCs w:val="20"/>
        </w:rPr>
        <w:t>A logística necessária para cumprimento do objeto não exige o envolvimento de empresas com diferentes especialidades, sendo conseqüentemente pertinente a participação de empresas individuais e desnecessária a formação de consórcios.</w:t>
      </w:r>
    </w:p>
    <w:p w:rsidR="00C64326" w:rsidRDefault="00C64326" w:rsidP="00FC2146">
      <w:pPr>
        <w:rPr>
          <w:szCs w:val="20"/>
        </w:rPr>
      </w:pPr>
    </w:p>
    <w:p w:rsidR="00C64326" w:rsidRDefault="00C64326" w:rsidP="00FC2146">
      <w:pPr>
        <w:rPr>
          <w:szCs w:val="20"/>
        </w:rPr>
      </w:pPr>
      <w:r>
        <w:rPr>
          <w:b/>
          <w:szCs w:val="20"/>
          <w:u w:val="single"/>
        </w:rPr>
        <w:t xml:space="preserve">Matriz de </w:t>
      </w:r>
      <w:proofErr w:type="gramStart"/>
      <w:r>
        <w:rPr>
          <w:b/>
          <w:szCs w:val="20"/>
          <w:u w:val="single"/>
        </w:rPr>
        <w:t>Risco</w:t>
      </w:r>
      <w:r w:rsidR="005F4C5E">
        <w:rPr>
          <w:b/>
          <w:szCs w:val="20"/>
        </w:rPr>
        <w:t>:</w:t>
      </w:r>
      <w:proofErr w:type="gramEnd"/>
      <w:r w:rsidR="005F4C5E" w:rsidRPr="005F4C5E">
        <w:rPr>
          <w:szCs w:val="20"/>
        </w:rPr>
        <w:t>O termo risco é designado como um evento ou uma condição incerta que, caso ocorra, terá efeito em pelo menos um objetivo do objeto contratual. O risco representa o resultado da combinação entre a probabilidade de ocorrência de determinado evento futuro e o impacto resultado caso ele ocorra. Esse conceito pode ser ainda mais específico ao se classificar o risco como a probabilidade de ocorrência de um determinado evento que gere impactos econômicos positivos ou negativos, bem como no prazo de execução do contrato.</w:t>
      </w:r>
    </w:p>
    <w:p w:rsidR="005F4C5E" w:rsidRPr="005F4C5E" w:rsidRDefault="005F4C5E" w:rsidP="00FC2146">
      <w:pPr>
        <w:rPr>
          <w:szCs w:val="20"/>
        </w:rPr>
      </w:pPr>
      <w:r w:rsidRPr="005F4C5E">
        <w:rPr>
          <w:szCs w:val="20"/>
        </w:rPr>
        <w:t>A matriz de risco visar atender à Lei 13.303/2016, que estabelece:</w:t>
      </w:r>
    </w:p>
    <w:p w:rsidR="002D27E9" w:rsidRDefault="002D27E9" w:rsidP="00FC2146">
      <w:pPr>
        <w:rPr>
          <w:b/>
          <w:szCs w:val="20"/>
        </w:rPr>
      </w:pPr>
    </w:p>
    <w:p w:rsidR="005F4C5E" w:rsidRPr="005F4C5E" w:rsidRDefault="005F4C5E" w:rsidP="005F4C5E">
      <w:pPr>
        <w:rPr>
          <w:i/>
        </w:rPr>
      </w:pPr>
      <w:r w:rsidRPr="005F4C5E">
        <w:rPr>
          <w:i/>
          <w:szCs w:val="20"/>
        </w:rPr>
        <w:t>Art. 69. São cláusulas necessárias nos contratos disciplinados por esta Lei: (Vide Lei nº 14.002, de 2020)</w:t>
      </w:r>
    </w:p>
    <w:p w:rsidR="005F4C5E" w:rsidRPr="005F4C5E" w:rsidRDefault="005F4C5E" w:rsidP="005F4C5E">
      <w:pPr>
        <w:rPr>
          <w:i/>
          <w:szCs w:val="20"/>
        </w:rPr>
      </w:pPr>
    </w:p>
    <w:p w:rsidR="005F4C5E" w:rsidRPr="005F4C5E" w:rsidRDefault="005F4C5E" w:rsidP="005F4C5E">
      <w:pPr>
        <w:rPr>
          <w:i/>
        </w:rPr>
      </w:pPr>
      <w:r w:rsidRPr="005F4C5E">
        <w:rPr>
          <w:i/>
          <w:szCs w:val="20"/>
        </w:rPr>
        <w:t>I - o objeto e seus elementos característicos;</w:t>
      </w:r>
    </w:p>
    <w:p w:rsidR="005F4C5E" w:rsidRPr="005F4C5E" w:rsidRDefault="005F4C5E" w:rsidP="005F4C5E">
      <w:pPr>
        <w:rPr>
          <w:i/>
        </w:rPr>
      </w:pPr>
      <w:r w:rsidRPr="005F4C5E">
        <w:rPr>
          <w:i/>
          <w:szCs w:val="20"/>
        </w:rPr>
        <w:t>II - o regime de execução ou a forma de fornecimento;</w:t>
      </w:r>
    </w:p>
    <w:p w:rsidR="005F4C5E" w:rsidRPr="005F4C5E" w:rsidRDefault="005F4C5E" w:rsidP="005F4C5E">
      <w:pPr>
        <w:rPr>
          <w:i/>
        </w:rPr>
      </w:pPr>
      <w:r w:rsidRPr="005F4C5E">
        <w:rPr>
          <w:i/>
          <w:szCs w:val="20"/>
        </w:rPr>
        <w:t xml:space="preserve">III - o preço e as condições de pagamento, os critérios, a data-base e a periodicidade do reajustamento de preços e os critérios de atualização monetária entre </w:t>
      </w:r>
      <w:proofErr w:type="spellStart"/>
      <w:r w:rsidRPr="005F4C5E">
        <w:rPr>
          <w:i/>
          <w:szCs w:val="20"/>
        </w:rPr>
        <w:t>adata</w:t>
      </w:r>
      <w:proofErr w:type="spellEnd"/>
      <w:r w:rsidRPr="005F4C5E">
        <w:rPr>
          <w:i/>
          <w:szCs w:val="20"/>
        </w:rPr>
        <w:t xml:space="preserve"> do adimplemento das obrigações e a do efetivo pagamento;</w:t>
      </w:r>
    </w:p>
    <w:p w:rsidR="005F4C5E" w:rsidRPr="005F4C5E" w:rsidRDefault="005F4C5E" w:rsidP="005F4C5E">
      <w:pPr>
        <w:rPr>
          <w:i/>
        </w:rPr>
      </w:pPr>
      <w:r w:rsidRPr="005F4C5E">
        <w:rPr>
          <w:i/>
          <w:szCs w:val="20"/>
        </w:rPr>
        <w:t>IV - os prazos de início de cada etapa de execução, de conclusão, de entrega, de observação, quando for o caso, e de recebimento;</w:t>
      </w:r>
    </w:p>
    <w:p w:rsidR="005F4C5E" w:rsidRPr="005F4C5E" w:rsidRDefault="005F4C5E" w:rsidP="005F4C5E">
      <w:pPr>
        <w:rPr>
          <w:i/>
        </w:rPr>
      </w:pPr>
      <w:r w:rsidRPr="005F4C5E">
        <w:rPr>
          <w:i/>
          <w:szCs w:val="20"/>
        </w:rPr>
        <w:t>V - as garantias oferecidas para assegurar a plena execução do objeto contratual, quando exigidas, observado o disposto no art. 68;</w:t>
      </w:r>
    </w:p>
    <w:p w:rsidR="005F4C5E" w:rsidRPr="005F4C5E" w:rsidRDefault="005F4C5E" w:rsidP="005F4C5E">
      <w:pPr>
        <w:rPr>
          <w:i/>
        </w:rPr>
      </w:pPr>
      <w:r w:rsidRPr="005F4C5E">
        <w:rPr>
          <w:i/>
          <w:szCs w:val="20"/>
        </w:rPr>
        <w:t>VI - os direitos e as responsabilidades das partes, as tipificações das infrações e as respectivas penalidades e valores das multas;</w:t>
      </w:r>
    </w:p>
    <w:p w:rsidR="005F4C5E" w:rsidRPr="005F4C5E" w:rsidRDefault="005F4C5E" w:rsidP="005F4C5E">
      <w:pPr>
        <w:rPr>
          <w:i/>
          <w:color w:val="000000"/>
        </w:rPr>
      </w:pPr>
      <w:r w:rsidRPr="005F4C5E">
        <w:rPr>
          <w:i/>
          <w:szCs w:val="20"/>
        </w:rPr>
        <w:t>VII - os casos de rescisão do contrato e os mecanismos para alteração de seus termos;</w:t>
      </w:r>
    </w:p>
    <w:p w:rsidR="005F4C5E" w:rsidRPr="005F4C5E" w:rsidRDefault="005F4C5E" w:rsidP="005F4C5E">
      <w:pPr>
        <w:rPr>
          <w:i/>
        </w:rPr>
      </w:pPr>
      <w:r w:rsidRPr="005F4C5E">
        <w:rPr>
          <w:i/>
          <w:szCs w:val="20"/>
        </w:rPr>
        <w:t xml:space="preserve">VIII - a vinculação ao instrumento convocatório da respectiva licitação ou ao termo que a dispensou ou a </w:t>
      </w:r>
      <w:proofErr w:type="spellStart"/>
      <w:r w:rsidRPr="005F4C5E">
        <w:rPr>
          <w:i/>
          <w:szCs w:val="20"/>
        </w:rPr>
        <w:t>inexigiu</w:t>
      </w:r>
      <w:proofErr w:type="spellEnd"/>
      <w:r w:rsidRPr="005F4C5E">
        <w:rPr>
          <w:i/>
          <w:szCs w:val="20"/>
        </w:rPr>
        <w:t xml:space="preserve">, bem como ao lance ou proposta do </w:t>
      </w:r>
      <w:proofErr w:type="spellStart"/>
      <w:r w:rsidRPr="005F4C5E">
        <w:rPr>
          <w:i/>
          <w:szCs w:val="20"/>
        </w:rPr>
        <w:t>licitantevencedor</w:t>
      </w:r>
      <w:proofErr w:type="spellEnd"/>
      <w:r w:rsidRPr="005F4C5E">
        <w:rPr>
          <w:i/>
          <w:szCs w:val="20"/>
        </w:rPr>
        <w:t>;</w:t>
      </w:r>
    </w:p>
    <w:p w:rsidR="005F4C5E" w:rsidRPr="005F4C5E" w:rsidRDefault="005F4C5E" w:rsidP="005F4C5E">
      <w:pPr>
        <w:rPr>
          <w:i/>
        </w:rPr>
      </w:pPr>
      <w:r w:rsidRPr="005F4C5E">
        <w:rPr>
          <w:i/>
          <w:szCs w:val="20"/>
        </w:rPr>
        <w:t xml:space="preserve">IX - a obrigação do contratado de manter, durante a execução do contrato, em compatibilidade com as obrigações por ele assumidas, as condições </w:t>
      </w:r>
      <w:proofErr w:type="spellStart"/>
      <w:r w:rsidRPr="005F4C5E">
        <w:rPr>
          <w:i/>
          <w:szCs w:val="20"/>
        </w:rPr>
        <w:t>dehabilitação</w:t>
      </w:r>
      <w:proofErr w:type="spellEnd"/>
      <w:r w:rsidRPr="005F4C5E">
        <w:rPr>
          <w:i/>
          <w:szCs w:val="20"/>
        </w:rPr>
        <w:t xml:space="preserve"> e </w:t>
      </w:r>
      <w:proofErr w:type="gramStart"/>
      <w:r w:rsidRPr="005F4C5E">
        <w:rPr>
          <w:i/>
          <w:szCs w:val="20"/>
        </w:rPr>
        <w:t>qualificação exigidas no curso do procedimento licitatório</w:t>
      </w:r>
      <w:proofErr w:type="gramEnd"/>
      <w:r w:rsidRPr="005F4C5E">
        <w:rPr>
          <w:i/>
          <w:szCs w:val="20"/>
        </w:rPr>
        <w:t>;</w:t>
      </w:r>
    </w:p>
    <w:p w:rsidR="005F4C5E" w:rsidRDefault="005F4C5E" w:rsidP="005F4C5E">
      <w:pPr>
        <w:rPr>
          <w:b/>
          <w:szCs w:val="20"/>
        </w:rPr>
      </w:pPr>
      <w:r w:rsidRPr="005F4C5E">
        <w:rPr>
          <w:i/>
          <w:szCs w:val="20"/>
        </w:rPr>
        <w:t>X - matriz de riscos.</w:t>
      </w:r>
    </w:p>
    <w:p w:rsidR="005F4C5E" w:rsidRDefault="005F4C5E" w:rsidP="00FC2146">
      <w:pPr>
        <w:rPr>
          <w:b/>
          <w:szCs w:val="20"/>
        </w:rPr>
      </w:pPr>
    </w:p>
    <w:p w:rsidR="00F72F73" w:rsidRDefault="00F72F73" w:rsidP="00FC2146">
      <w:pPr>
        <w:rPr>
          <w:b/>
          <w:szCs w:val="20"/>
          <w:u w:val="single"/>
        </w:rPr>
      </w:pPr>
      <w:proofErr w:type="gramStart"/>
      <w:r w:rsidRPr="00F72F73">
        <w:rPr>
          <w:b/>
          <w:szCs w:val="20"/>
          <w:u w:val="single"/>
        </w:rPr>
        <w:t>Justificativa Serviços</w:t>
      </w:r>
      <w:proofErr w:type="gramEnd"/>
      <w:r w:rsidRPr="00F72F73">
        <w:rPr>
          <w:b/>
          <w:szCs w:val="20"/>
          <w:u w:val="single"/>
        </w:rPr>
        <w:t xml:space="preserve"> Comuns para realização Pregão Eletrônico</w:t>
      </w:r>
      <w:r w:rsidR="00FE64B8">
        <w:rPr>
          <w:b/>
          <w:szCs w:val="20"/>
          <w:u w:val="single"/>
        </w:rPr>
        <w:t xml:space="preserve"> e aplicabilidade mediante Sistema de Registro de Preços - SRP</w:t>
      </w:r>
      <w:r w:rsidRPr="00C02086">
        <w:rPr>
          <w:b/>
          <w:szCs w:val="20"/>
        </w:rPr>
        <w:t>:</w:t>
      </w:r>
    </w:p>
    <w:p w:rsidR="00343CFB" w:rsidRDefault="00343CFB" w:rsidP="00FC2146">
      <w:pPr>
        <w:rPr>
          <w:b/>
          <w:szCs w:val="20"/>
          <w:u w:val="single"/>
        </w:rPr>
      </w:pPr>
    </w:p>
    <w:p w:rsidR="00592D82" w:rsidRDefault="00F72F73" w:rsidP="00F72F73">
      <w:pPr>
        <w:spacing w:after="200" w:line="276" w:lineRule="auto"/>
        <w:rPr>
          <w:bCs/>
          <w:color w:val="000000" w:themeColor="text1"/>
          <w:szCs w:val="20"/>
        </w:rPr>
      </w:pPr>
      <w:r w:rsidRPr="00F72F73">
        <w:rPr>
          <w:bCs/>
          <w:color w:val="000000" w:themeColor="text1"/>
          <w:szCs w:val="20"/>
        </w:rPr>
        <w:t xml:space="preserve">Os serviços de </w:t>
      </w:r>
      <w:r w:rsidR="008C0B87" w:rsidRPr="008C0B87">
        <w:rPr>
          <w:bCs/>
          <w:szCs w:val="20"/>
        </w:rPr>
        <w:t>Perfuração e Instalação de poços tubulares em áreas de rochas calcárias, rochas meta</w:t>
      </w:r>
      <w:r w:rsidR="007E79CF">
        <w:rPr>
          <w:bCs/>
          <w:szCs w:val="20"/>
        </w:rPr>
        <w:t>s</w:t>
      </w:r>
      <w:r w:rsidR="008C0B87" w:rsidRPr="008C0B87">
        <w:rPr>
          <w:bCs/>
          <w:szCs w:val="20"/>
        </w:rPr>
        <w:t>sedimentares, rochas cristalinas e rochas sedimentares, localizadas em municípios diversos do Estado da Bahia, na área de atuação da 2ª SR da C</w:t>
      </w:r>
      <w:r w:rsidR="008C0B87">
        <w:rPr>
          <w:bCs/>
          <w:szCs w:val="20"/>
        </w:rPr>
        <w:t>ODEVASF</w:t>
      </w:r>
      <w:r w:rsidR="008C0B87" w:rsidRPr="008C0B87">
        <w:rPr>
          <w:bCs/>
          <w:szCs w:val="20"/>
        </w:rPr>
        <w:t>, em Bom Jesus da Lapa/BA</w:t>
      </w:r>
      <w:proofErr w:type="gramStart"/>
      <w:r w:rsidR="008C0B87" w:rsidRPr="008C0B87">
        <w:rPr>
          <w:bCs/>
          <w:szCs w:val="20"/>
        </w:rPr>
        <w:t>.</w:t>
      </w:r>
      <w:r w:rsidR="00C02086">
        <w:rPr>
          <w:bCs/>
          <w:color w:val="000000" w:themeColor="text1"/>
          <w:szCs w:val="20"/>
        </w:rPr>
        <w:t>,</w:t>
      </w:r>
      <w:proofErr w:type="gramEnd"/>
      <w:r w:rsidRPr="00F72F73">
        <w:rPr>
          <w:bCs/>
          <w:color w:val="000000" w:themeColor="text1"/>
          <w:szCs w:val="20"/>
        </w:rPr>
        <w:t xml:space="preserve"> são serviços de engenharia que podem ser caracterizados tecnicamente como serviços comuns, por tratar-se de um</w:t>
      </w:r>
      <w:r w:rsidR="00DF2976">
        <w:rPr>
          <w:bCs/>
          <w:color w:val="000000" w:themeColor="text1"/>
          <w:szCs w:val="20"/>
        </w:rPr>
        <w:t>a</w:t>
      </w:r>
      <w:r w:rsidRPr="00F72F73">
        <w:rPr>
          <w:bCs/>
          <w:color w:val="000000" w:themeColor="text1"/>
          <w:szCs w:val="20"/>
        </w:rPr>
        <w:t xml:space="preserve"> atividade</w:t>
      </w:r>
      <w:r w:rsidR="00DF2976">
        <w:rPr>
          <w:bCs/>
          <w:color w:val="000000" w:themeColor="text1"/>
          <w:szCs w:val="20"/>
        </w:rPr>
        <w:t xml:space="preserve"> das</w:t>
      </w:r>
      <w:r w:rsidRPr="00F72F73">
        <w:rPr>
          <w:bCs/>
          <w:color w:val="000000" w:themeColor="text1"/>
          <w:szCs w:val="20"/>
        </w:rPr>
        <w:t xml:space="preserve"> mais simples, que pode ser objetivamente definida conforme especificações usuais de mercado, o que possui natureza padronizável e pouco complexa, visto que </w:t>
      </w:r>
      <w:r w:rsidR="00DF2976">
        <w:rPr>
          <w:bCs/>
          <w:color w:val="000000" w:themeColor="text1"/>
          <w:szCs w:val="20"/>
        </w:rPr>
        <w:t>é executada de forma rotineira no estado</w:t>
      </w:r>
      <w:r w:rsidRPr="00F72F73">
        <w:rPr>
          <w:bCs/>
          <w:color w:val="000000" w:themeColor="text1"/>
          <w:szCs w:val="20"/>
        </w:rPr>
        <w:t>, sendo indiferente o município a ser beneficiado</w:t>
      </w:r>
      <w:r w:rsidR="006E55DF">
        <w:rPr>
          <w:bCs/>
          <w:color w:val="000000" w:themeColor="text1"/>
          <w:szCs w:val="20"/>
        </w:rPr>
        <w:t>. A técnica envolvida na execução dos serviços objeto desta licitação é conhecida no mercado, possibilitando, por isso, sua descrição de forma objeti</w:t>
      </w:r>
      <w:r w:rsidR="007E79CF">
        <w:rPr>
          <w:bCs/>
          <w:color w:val="000000" w:themeColor="text1"/>
          <w:szCs w:val="20"/>
        </w:rPr>
        <w:t>va de execução conforme consta n</w:t>
      </w:r>
      <w:r w:rsidR="006E55DF">
        <w:rPr>
          <w:bCs/>
          <w:color w:val="000000" w:themeColor="text1"/>
          <w:szCs w:val="20"/>
        </w:rPr>
        <w:t>as especificações técnicas.</w:t>
      </w:r>
    </w:p>
    <w:p w:rsidR="00B708A2" w:rsidRPr="00384A48" w:rsidRDefault="00B708A2" w:rsidP="00B708A2">
      <w:pPr>
        <w:spacing w:after="200" w:line="276" w:lineRule="auto"/>
        <w:rPr>
          <w:bCs/>
          <w:color w:val="000000"/>
          <w:szCs w:val="20"/>
        </w:rPr>
      </w:pPr>
      <w:r w:rsidRPr="00384A48">
        <w:rPr>
          <w:bCs/>
          <w:color w:val="000000"/>
          <w:szCs w:val="20"/>
        </w:rPr>
        <w:t xml:space="preserve">Vale salientar que existem poços </w:t>
      </w:r>
      <w:r w:rsidR="0073207E">
        <w:rPr>
          <w:bCs/>
          <w:color w:val="000000"/>
          <w:szCs w:val="20"/>
        </w:rPr>
        <w:t xml:space="preserve">com </w:t>
      </w:r>
      <w:r w:rsidRPr="00384A48">
        <w:rPr>
          <w:bCs/>
          <w:color w:val="000000"/>
          <w:szCs w:val="20"/>
        </w:rPr>
        <w:t xml:space="preserve">os mais variados fins, seja para estudos geológicos, captação de água subterrânea, extração de gás/petróleo, de monitoramento, </w:t>
      </w:r>
      <w:r>
        <w:rPr>
          <w:bCs/>
          <w:color w:val="000000"/>
          <w:szCs w:val="20"/>
        </w:rPr>
        <w:t>entre outros</w:t>
      </w:r>
      <w:r w:rsidRPr="00384A48">
        <w:rPr>
          <w:bCs/>
          <w:color w:val="000000"/>
          <w:szCs w:val="20"/>
        </w:rPr>
        <w:t xml:space="preserve">, realizados </w:t>
      </w:r>
      <w:r w:rsidR="0073207E">
        <w:rPr>
          <w:bCs/>
          <w:color w:val="000000"/>
          <w:szCs w:val="20"/>
        </w:rPr>
        <w:t>através de</w:t>
      </w:r>
      <w:r w:rsidRPr="00384A48">
        <w:rPr>
          <w:bCs/>
          <w:color w:val="000000"/>
          <w:szCs w:val="20"/>
        </w:rPr>
        <w:t xml:space="preserve"> variadas tecnologias para perfuração, seja manual ou com equipamentos mecanizados. Poços que integram um </w:t>
      </w:r>
      <w:r>
        <w:rPr>
          <w:bCs/>
          <w:color w:val="000000"/>
          <w:szCs w:val="20"/>
        </w:rPr>
        <w:t>s</w:t>
      </w:r>
      <w:r w:rsidRPr="00384A48">
        <w:rPr>
          <w:bCs/>
          <w:color w:val="000000"/>
          <w:szCs w:val="20"/>
        </w:rPr>
        <w:t xml:space="preserve">istema de </w:t>
      </w:r>
      <w:r>
        <w:rPr>
          <w:bCs/>
          <w:color w:val="000000"/>
          <w:szCs w:val="20"/>
        </w:rPr>
        <w:t>a</w:t>
      </w:r>
      <w:r w:rsidRPr="00384A48">
        <w:rPr>
          <w:bCs/>
          <w:color w:val="000000"/>
          <w:szCs w:val="20"/>
        </w:rPr>
        <w:t xml:space="preserve">bastecimento de água completo possuem uma estrutura composta de várias unidades, ou seja, captação, estação elevatória, adutora, estação de tratamento, reservatórios (enterrado/elevado) e redes de distribuição, </w:t>
      </w:r>
      <w:r w:rsidR="0005274B">
        <w:rPr>
          <w:bCs/>
          <w:color w:val="000000"/>
          <w:szCs w:val="20"/>
        </w:rPr>
        <w:t xml:space="preserve">inclusive com propulsão a energia </w:t>
      </w:r>
      <w:proofErr w:type="gramStart"/>
      <w:r w:rsidR="0005274B">
        <w:rPr>
          <w:bCs/>
          <w:color w:val="000000"/>
          <w:szCs w:val="20"/>
        </w:rPr>
        <w:t>solar,</w:t>
      </w:r>
      <w:proofErr w:type="gramEnd"/>
      <w:r w:rsidRPr="00384A48">
        <w:rPr>
          <w:bCs/>
          <w:color w:val="000000"/>
          <w:szCs w:val="20"/>
        </w:rPr>
        <w:t xml:space="preserve">ficando evidente que neste caso sua construção </w:t>
      </w:r>
      <w:r w:rsidRPr="00A22D47">
        <w:rPr>
          <w:bCs/>
          <w:color w:val="000000"/>
          <w:szCs w:val="20"/>
        </w:rPr>
        <w:t xml:space="preserve">integra um </w:t>
      </w:r>
      <w:r w:rsidR="005D00ED" w:rsidRPr="00A22D47">
        <w:t xml:space="preserve">serviço </w:t>
      </w:r>
      <w:r w:rsidRPr="00A22D47">
        <w:rPr>
          <w:bCs/>
          <w:color w:val="000000"/>
          <w:szCs w:val="20"/>
        </w:rPr>
        <w:t>complet</w:t>
      </w:r>
      <w:r w:rsidR="005D00ED" w:rsidRPr="00A22D47">
        <w:rPr>
          <w:bCs/>
          <w:color w:val="000000"/>
          <w:szCs w:val="20"/>
        </w:rPr>
        <w:t>o</w:t>
      </w:r>
      <w:r w:rsidRPr="00384A48">
        <w:rPr>
          <w:bCs/>
          <w:color w:val="000000"/>
          <w:szCs w:val="20"/>
        </w:rPr>
        <w:t>. Os poços objeto desta licitação, como relatado ao parágrafo anterior, são os poços de baixa complexidade, padronizados, não atingem grandes profundidades, que além dos serviços de perfuração</w:t>
      </w:r>
      <w:r w:rsidR="00CE4657">
        <w:rPr>
          <w:bCs/>
          <w:color w:val="000000"/>
          <w:szCs w:val="20"/>
        </w:rPr>
        <w:t>,</w:t>
      </w:r>
      <w:r w:rsidRPr="00384A48">
        <w:rPr>
          <w:bCs/>
          <w:color w:val="000000"/>
          <w:szCs w:val="20"/>
        </w:rPr>
        <w:t xml:space="preserve"> são fornecidos e instalados </w:t>
      </w:r>
      <w:r w:rsidR="00CE4657">
        <w:rPr>
          <w:bCs/>
          <w:color w:val="000000"/>
          <w:szCs w:val="20"/>
        </w:rPr>
        <w:t xml:space="preserve">com </w:t>
      </w:r>
      <w:proofErr w:type="spellStart"/>
      <w:r w:rsidRPr="00384A48">
        <w:rPr>
          <w:bCs/>
          <w:color w:val="000000"/>
          <w:szCs w:val="20"/>
        </w:rPr>
        <w:t>bombea</w:t>
      </w:r>
      <w:r w:rsidR="00CE4657">
        <w:rPr>
          <w:bCs/>
          <w:color w:val="000000"/>
          <w:szCs w:val="20"/>
        </w:rPr>
        <w:t>dores</w:t>
      </w:r>
      <w:proofErr w:type="spellEnd"/>
      <w:r w:rsidR="00CE4657">
        <w:rPr>
          <w:bCs/>
          <w:color w:val="000000"/>
          <w:szCs w:val="20"/>
        </w:rPr>
        <w:t xml:space="preserve"> </w:t>
      </w:r>
      <w:r w:rsidRPr="00384A48">
        <w:rPr>
          <w:bCs/>
          <w:color w:val="000000"/>
          <w:szCs w:val="20"/>
        </w:rPr>
        <w:t>simples através bomba submersa</w:t>
      </w:r>
      <w:r w:rsidR="00AC12C7">
        <w:rPr>
          <w:bCs/>
          <w:color w:val="000000"/>
          <w:szCs w:val="20"/>
        </w:rPr>
        <w:t xml:space="preserve"> ligados a energia fotovoltaica, </w:t>
      </w:r>
      <w:r w:rsidRPr="00384A48">
        <w:rPr>
          <w:bCs/>
          <w:color w:val="000000"/>
          <w:szCs w:val="20"/>
        </w:rPr>
        <w:t xml:space="preserve">fornecimento e instalação de um reservatório de polietileno apoiado em base </w:t>
      </w:r>
      <w:r w:rsidR="00E56CC0">
        <w:rPr>
          <w:bCs/>
          <w:color w:val="000000"/>
          <w:szCs w:val="20"/>
        </w:rPr>
        <w:t xml:space="preserve">elevada </w:t>
      </w:r>
      <w:r w:rsidRPr="00384A48">
        <w:rPr>
          <w:bCs/>
          <w:color w:val="000000"/>
          <w:szCs w:val="20"/>
        </w:rPr>
        <w:t xml:space="preserve">de alvenaria e um </w:t>
      </w:r>
      <w:r w:rsidR="00CE4657">
        <w:rPr>
          <w:bCs/>
          <w:color w:val="000000"/>
          <w:szCs w:val="20"/>
        </w:rPr>
        <w:t>chafariz</w:t>
      </w:r>
      <w:r w:rsidRPr="00384A48">
        <w:rPr>
          <w:bCs/>
          <w:color w:val="000000"/>
          <w:szCs w:val="20"/>
        </w:rPr>
        <w:t>.</w:t>
      </w:r>
    </w:p>
    <w:p w:rsidR="00592D82" w:rsidRDefault="00FE64B8" w:rsidP="00F72F73">
      <w:pPr>
        <w:spacing w:after="200" w:line="276" w:lineRule="auto"/>
        <w:rPr>
          <w:bCs/>
          <w:color w:val="000000" w:themeColor="text1"/>
          <w:szCs w:val="20"/>
        </w:rPr>
      </w:pPr>
      <w:r>
        <w:rPr>
          <w:bCs/>
          <w:color w:val="000000" w:themeColor="text1"/>
          <w:szCs w:val="20"/>
        </w:rPr>
        <w:t xml:space="preserve">Ademais, é oportuno citar o Acórdão TCU nº </w:t>
      </w:r>
      <w:proofErr w:type="gramStart"/>
      <w:r>
        <w:rPr>
          <w:bCs/>
          <w:color w:val="000000" w:themeColor="text1"/>
          <w:szCs w:val="20"/>
        </w:rPr>
        <w:t>3.419/2013-Plenário, Rel.</w:t>
      </w:r>
      <w:proofErr w:type="gramEnd"/>
      <w:r>
        <w:rPr>
          <w:bCs/>
          <w:color w:val="000000" w:themeColor="text1"/>
          <w:szCs w:val="20"/>
        </w:rPr>
        <w:t xml:space="preserve"> Min. José </w:t>
      </w:r>
      <w:proofErr w:type="spellStart"/>
      <w:r>
        <w:rPr>
          <w:bCs/>
          <w:color w:val="000000" w:themeColor="text1"/>
          <w:szCs w:val="20"/>
        </w:rPr>
        <w:t>Múcio</w:t>
      </w:r>
      <w:proofErr w:type="spellEnd"/>
      <w:r>
        <w:rPr>
          <w:bCs/>
          <w:color w:val="000000" w:themeColor="text1"/>
          <w:szCs w:val="20"/>
        </w:rPr>
        <w:t xml:space="preserve"> Monteiro, DOU de 12.12.2013, o qual, dentre outras situações, julgava também a adequação do objeto ao regime de contratação. Nos </w:t>
      </w:r>
      <w:r w:rsidR="00967B8F">
        <w:rPr>
          <w:bCs/>
          <w:color w:val="000000" w:themeColor="text1"/>
          <w:szCs w:val="20"/>
        </w:rPr>
        <w:t xml:space="preserve">itens 11 e 12 do Voto, o Relator diz: </w:t>
      </w:r>
      <w:r w:rsidR="00967B8F" w:rsidRPr="00A91F02">
        <w:rPr>
          <w:bCs/>
          <w:i/>
          <w:color w:val="000000" w:themeColor="text1"/>
          <w:szCs w:val="20"/>
        </w:rPr>
        <w:t>11.</w:t>
      </w:r>
      <w:r w:rsidR="00A91F02" w:rsidRPr="00A91F02">
        <w:rPr>
          <w:bCs/>
          <w:i/>
          <w:color w:val="000000" w:themeColor="text1"/>
          <w:szCs w:val="20"/>
        </w:rPr>
        <w:t xml:space="preserve"> “</w:t>
      </w:r>
      <w:r w:rsidR="00967B8F" w:rsidRPr="00A91F02">
        <w:rPr>
          <w:bCs/>
          <w:i/>
          <w:color w:val="000000" w:themeColor="text1"/>
          <w:szCs w:val="20"/>
        </w:rPr>
        <w:t>Ocorre que, como assinalado pela unidade técnica, o objeto da licitação não se caracteriza exclusivamente como execução de obras, embora seja admitida a realização de reforma de agências, sem ampliações. A maior demanda prevista é de serviços de readequação de ambientes, sendo que as obras, quando necessárias, são apenas de natureza pontual e complementar. 12. Como, no concreto, os serviços de reforma previstos, além de materialmente pouco relevantes, estão decompostos em atividades mais simples, típicas de intervenção isoladas, que podem ser objetivamente definidas, conforme especificações usuais no mercado, e possuem natureza padronizável e pouco complexa, entendo não haver óbice ao emprego do sistema de registro de preços na sua contratação”</w:t>
      </w:r>
      <w:r w:rsidR="00967B8F">
        <w:rPr>
          <w:bCs/>
          <w:color w:val="000000" w:themeColor="text1"/>
          <w:szCs w:val="20"/>
        </w:rPr>
        <w:t>.</w:t>
      </w:r>
    </w:p>
    <w:p w:rsidR="00344536" w:rsidRDefault="00FE64B8" w:rsidP="00F72F73">
      <w:pPr>
        <w:spacing w:after="200" w:line="276" w:lineRule="auto"/>
        <w:rPr>
          <w:bCs/>
          <w:color w:val="000000" w:themeColor="text1"/>
          <w:szCs w:val="20"/>
        </w:rPr>
      </w:pPr>
      <w:r>
        <w:rPr>
          <w:bCs/>
          <w:color w:val="000000" w:themeColor="text1"/>
          <w:szCs w:val="20"/>
        </w:rPr>
        <w:t>A utilização do Sistema de Registro de Preços – SRP é aplicável ao objeto desta licitação</w:t>
      </w:r>
      <w:r w:rsidR="00A614EC">
        <w:rPr>
          <w:bCs/>
          <w:color w:val="000000" w:themeColor="text1"/>
          <w:szCs w:val="20"/>
        </w:rPr>
        <w:t xml:space="preserve">; </w:t>
      </w:r>
      <w:r>
        <w:rPr>
          <w:bCs/>
          <w:color w:val="000000" w:themeColor="text1"/>
          <w:szCs w:val="20"/>
        </w:rPr>
        <w:t xml:space="preserve">considerando a imprevisibilidade do quantitativo e/ou do momento em que essas contratações se farão necessárias, e levando em consideração também da </w:t>
      </w:r>
      <w:r w:rsidR="00F71F87">
        <w:rPr>
          <w:bCs/>
          <w:color w:val="000000" w:themeColor="text1"/>
          <w:szCs w:val="20"/>
        </w:rPr>
        <w:t>imprevi</w:t>
      </w:r>
      <w:r w:rsidR="00F71F87" w:rsidRPr="00F71F87">
        <w:rPr>
          <w:bCs/>
          <w:color w:val="000000" w:themeColor="text1"/>
          <w:szCs w:val="20"/>
        </w:rPr>
        <w:t xml:space="preserve">sibilidade da disponibilidade de recursos orçamentários diante das necessidades </w:t>
      </w:r>
      <w:r w:rsidR="00A614EC" w:rsidRPr="00F71F87">
        <w:rPr>
          <w:bCs/>
          <w:color w:val="000000" w:themeColor="text1"/>
          <w:szCs w:val="20"/>
        </w:rPr>
        <w:t>freqüentes</w:t>
      </w:r>
      <w:r w:rsidR="00F71F87" w:rsidRPr="00F71F87">
        <w:rPr>
          <w:bCs/>
          <w:color w:val="000000" w:themeColor="text1"/>
          <w:szCs w:val="20"/>
        </w:rPr>
        <w:t xml:space="preserve"> da contratação desses serviços</w:t>
      </w:r>
      <w:r w:rsidR="00F71F87">
        <w:rPr>
          <w:bCs/>
          <w:color w:val="000000" w:themeColor="text1"/>
          <w:szCs w:val="20"/>
        </w:rPr>
        <w:t xml:space="preserve">. </w:t>
      </w:r>
      <w:r>
        <w:rPr>
          <w:bCs/>
          <w:color w:val="000000" w:themeColor="text1"/>
          <w:szCs w:val="20"/>
        </w:rPr>
        <w:t xml:space="preserve">Note-se que, dentre outros aspectos, e da necessidade </w:t>
      </w:r>
      <w:r w:rsidR="00A614EC">
        <w:rPr>
          <w:bCs/>
          <w:color w:val="000000" w:themeColor="text1"/>
          <w:szCs w:val="20"/>
        </w:rPr>
        <w:t>freqüente</w:t>
      </w:r>
      <w:r>
        <w:rPr>
          <w:bCs/>
          <w:color w:val="000000" w:themeColor="text1"/>
          <w:szCs w:val="20"/>
        </w:rPr>
        <w:t xml:space="preserve">, bem como a inviabilidade de prévia definição da respectiva periodicidade e quantitativos inerentes a cada contratação, o que se presta ainda a justificar a constituição de SRP, em compatibilidade com o disposto no art. 3º, especialmente </w:t>
      </w:r>
      <w:proofErr w:type="gramStart"/>
      <w:r>
        <w:rPr>
          <w:bCs/>
          <w:color w:val="000000" w:themeColor="text1"/>
          <w:szCs w:val="20"/>
        </w:rPr>
        <w:t>Incisos I e IV do Decreto</w:t>
      </w:r>
      <w:proofErr w:type="gramEnd"/>
      <w:r>
        <w:rPr>
          <w:bCs/>
          <w:color w:val="000000" w:themeColor="text1"/>
          <w:szCs w:val="20"/>
        </w:rPr>
        <w:t xml:space="preserve"> nº. 7892/2013.</w:t>
      </w:r>
    </w:p>
    <w:p w:rsidR="00CB7477" w:rsidRDefault="00CB7477" w:rsidP="00CB7477">
      <w:pPr>
        <w:rPr>
          <w:b/>
          <w:szCs w:val="20"/>
          <w:u w:val="single"/>
        </w:rPr>
      </w:pPr>
      <w:r w:rsidRPr="00CB7477">
        <w:rPr>
          <w:b/>
          <w:szCs w:val="20"/>
          <w:u w:val="single"/>
        </w:rPr>
        <w:t>Autorização de Adesões</w:t>
      </w:r>
      <w:proofErr w:type="gramStart"/>
      <w:r w:rsidRPr="00CB7477">
        <w:rPr>
          <w:b/>
          <w:szCs w:val="20"/>
          <w:u w:val="single"/>
        </w:rPr>
        <w:t xml:space="preserve">  </w:t>
      </w:r>
      <w:proofErr w:type="gramEnd"/>
      <w:r w:rsidRPr="00CB7477">
        <w:rPr>
          <w:b/>
          <w:szCs w:val="20"/>
          <w:u w:val="single"/>
        </w:rPr>
        <w:t>- “Caronas”</w:t>
      </w:r>
    </w:p>
    <w:p w:rsidR="00CB7477" w:rsidRPr="00CB7477" w:rsidRDefault="00CB7477" w:rsidP="00CB7477">
      <w:pPr>
        <w:rPr>
          <w:b/>
          <w:szCs w:val="20"/>
          <w:u w:val="single"/>
        </w:rPr>
      </w:pPr>
    </w:p>
    <w:p w:rsidR="00CB7477" w:rsidRPr="00CB7477" w:rsidRDefault="00CB7477" w:rsidP="00CB7477">
      <w:pPr>
        <w:spacing w:after="200" w:line="276" w:lineRule="auto"/>
        <w:rPr>
          <w:bCs/>
          <w:color w:val="000000" w:themeColor="text1"/>
          <w:szCs w:val="20"/>
        </w:rPr>
      </w:pPr>
      <w:r w:rsidRPr="00CB7477">
        <w:rPr>
          <w:bCs/>
          <w:color w:val="000000" w:themeColor="text1"/>
          <w:szCs w:val="20"/>
        </w:rPr>
        <w:t>A área técnica não ver empecilho em prever no edital a autorização de adesões para qualquer órgão ou entidade da administração pública federal que não participe do certame licitatório, considerando os seguintes argumentos:</w:t>
      </w:r>
    </w:p>
    <w:p w:rsidR="00CB7477" w:rsidRPr="00CB7477" w:rsidRDefault="00CB7477" w:rsidP="00CB7477">
      <w:pPr>
        <w:numPr>
          <w:ilvl w:val="0"/>
          <w:numId w:val="38"/>
        </w:numPr>
        <w:spacing w:after="200" w:line="276" w:lineRule="auto"/>
        <w:rPr>
          <w:bCs/>
          <w:color w:val="000000" w:themeColor="text1"/>
          <w:szCs w:val="20"/>
        </w:rPr>
      </w:pPr>
      <w:r w:rsidRPr="00CB7477">
        <w:rPr>
          <w:bCs/>
          <w:color w:val="000000" w:themeColor="text1"/>
          <w:szCs w:val="20"/>
        </w:rPr>
        <w:t>Ao participar do SRP, o licitante sabendo que outros órgãos podem solicitar adesões, ele pode ofertar um desconto maior, sendo vantajoso para o órgão gerenciador, já que o licitante poderá ofertar um quantitativo superior ao que está sendo licitado pelo órgão gerenciador, aumentando assim o seu faturamento;</w:t>
      </w:r>
    </w:p>
    <w:p w:rsidR="00CB7477" w:rsidRPr="00CB7477" w:rsidRDefault="00CB7477" w:rsidP="00CB7477">
      <w:pPr>
        <w:numPr>
          <w:ilvl w:val="0"/>
          <w:numId w:val="38"/>
        </w:numPr>
        <w:spacing w:after="200" w:line="276" w:lineRule="auto"/>
        <w:rPr>
          <w:bCs/>
          <w:color w:val="000000" w:themeColor="text1"/>
          <w:szCs w:val="20"/>
        </w:rPr>
      </w:pPr>
      <w:r w:rsidRPr="00CB7477">
        <w:rPr>
          <w:bCs/>
          <w:color w:val="000000" w:themeColor="text1"/>
          <w:szCs w:val="20"/>
        </w:rPr>
        <w:t>A autorização de adesões é vantajosa para o órgão gerenciador da ata porque atrai inúmeras empresas, aumentando assim à competitividade, e conseqüentemente a redução dos preços unitários, já que os licitantes podem executar os serviços para diversos órgãos os itens licitados;</w:t>
      </w:r>
    </w:p>
    <w:p w:rsidR="00CB7477" w:rsidRPr="00CB7477" w:rsidRDefault="00CB7477" w:rsidP="00CB7477">
      <w:pPr>
        <w:numPr>
          <w:ilvl w:val="0"/>
          <w:numId w:val="38"/>
        </w:numPr>
        <w:spacing w:after="200" w:line="276" w:lineRule="auto"/>
        <w:rPr>
          <w:bCs/>
          <w:color w:val="000000" w:themeColor="text1"/>
          <w:szCs w:val="20"/>
        </w:rPr>
      </w:pPr>
      <w:r w:rsidRPr="00CB7477">
        <w:rPr>
          <w:bCs/>
          <w:color w:val="000000" w:themeColor="text1"/>
          <w:szCs w:val="20"/>
        </w:rPr>
        <w:t>Por outro lado, para os órgãos que pegam carona no SRP há inúmeras vantagens, dentro das quais podemos citar:</w:t>
      </w:r>
    </w:p>
    <w:p w:rsidR="00CB7477" w:rsidRPr="00CB7477" w:rsidRDefault="00CB7477" w:rsidP="00CB7477">
      <w:pPr>
        <w:numPr>
          <w:ilvl w:val="1"/>
          <w:numId w:val="38"/>
        </w:numPr>
        <w:spacing w:after="200" w:line="276" w:lineRule="auto"/>
        <w:rPr>
          <w:bCs/>
          <w:color w:val="000000" w:themeColor="text1"/>
          <w:szCs w:val="20"/>
        </w:rPr>
      </w:pPr>
      <w:r w:rsidRPr="00CB7477">
        <w:rPr>
          <w:bCs/>
          <w:color w:val="000000" w:themeColor="text1"/>
          <w:szCs w:val="20"/>
        </w:rPr>
        <w:t>Agilidade no processo de execução dos serviços, já que o mesmo não precisa realizar um processo licitatório, principalmente na execução de pequenas quantidades;</w:t>
      </w:r>
    </w:p>
    <w:p w:rsidR="00CB7477" w:rsidRDefault="00CB7477" w:rsidP="00F72F73">
      <w:pPr>
        <w:numPr>
          <w:ilvl w:val="1"/>
          <w:numId w:val="38"/>
        </w:numPr>
        <w:spacing w:after="200" w:line="276" w:lineRule="auto"/>
        <w:rPr>
          <w:bCs/>
          <w:color w:val="000000" w:themeColor="text1"/>
          <w:szCs w:val="20"/>
        </w:rPr>
      </w:pPr>
      <w:r w:rsidRPr="00CB7477">
        <w:rPr>
          <w:bCs/>
          <w:color w:val="000000" w:themeColor="text1"/>
          <w:szCs w:val="20"/>
        </w:rPr>
        <w:t>Às vezes, dependendo da necessidade e das condições orçamentárias, certos órgãos só têm condições de executar quantitativos inferiores, o que de certa forma, nas licitações desses órgãos, os preços ofertados pelos licitantes não são competitivos quando comparados aos de outros órgãos que licitam esses mesmos itens em quantidades bem superiores.</w:t>
      </w:r>
    </w:p>
    <w:p w:rsidR="004C7655" w:rsidRDefault="004C7655" w:rsidP="000C2A5B">
      <w:pPr>
        <w:rPr>
          <w:bCs/>
          <w:iCs/>
          <w:szCs w:val="20"/>
        </w:rPr>
      </w:pPr>
    </w:p>
    <w:p w:rsidR="00AD5735" w:rsidRDefault="00AD5735" w:rsidP="00AD5735">
      <w:pPr>
        <w:rPr>
          <w:b/>
          <w:szCs w:val="20"/>
          <w:u w:val="single"/>
        </w:rPr>
      </w:pPr>
      <w:r w:rsidRPr="000C2A5B">
        <w:rPr>
          <w:b/>
          <w:szCs w:val="20"/>
          <w:u w:val="single"/>
        </w:rPr>
        <w:t xml:space="preserve">Divulgação da Intenção de Registro de Preços: </w:t>
      </w:r>
    </w:p>
    <w:p w:rsidR="00AD5735" w:rsidRDefault="00AD5735" w:rsidP="00AD5735">
      <w:pPr>
        <w:rPr>
          <w:b/>
          <w:szCs w:val="20"/>
          <w:u w:val="single"/>
        </w:rPr>
      </w:pPr>
    </w:p>
    <w:p w:rsidR="00AD5735" w:rsidRDefault="00AD5735" w:rsidP="00AD5735">
      <w:pPr>
        <w:rPr>
          <w:bCs/>
          <w:iCs/>
          <w:szCs w:val="20"/>
        </w:rPr>
      </w:pPr>
      <w:r w:rsidRPr="00BF5C05">
        <w:rPr>
          <w:bCs/>
          <w:iCs/>
          <w:szCs w:val="20"/>
        </w:rPr>
        <w:t>Decidiu-se pela divulgação da Intenção de Registro de Preços</w:t>
      </w:r>
      <w:r>
        <w:rPr>
          <w:bCs/>
          <w:iCs/>
          <w:szCs w:val="20"/>
        </w:rPr>
        <w:t xml:space="preserve">. Objetivando buscar o princípio da eficiência, somado à possível </w:t>
      </w:r>
      <w:r w:rsidRPr="003C00FB">
        <w:rPr>
          <w:bCs/>
          <w:iCs/>
          <w:szCs w:val="20"/>
        </w:rPr>
        <w:t>economia de escala decorrente da definição de um quantitativo estimado maior</w:t>
      </w:r>
      <w:r>
        <w:rPr>
          <w:bCs/>
          <w:iCs/>
          <w:szCs w:val="20"/>
        </w:rPr>
        <w:t xml:space="preserve">, </w:t>
      </w:r>
      <w:r w:rsidRPr="003C00FB">
        <w:rPr>
          <w:bCs/>
          <w:iCs/>
          <w:szCs w:val="20"/>
        </w:rPr>
        <w:t xml:space="preserve">julgamos coerente em divulgar/autorizar a Intenção para Registro de Preços (IRP) para </w:t>
      </w:r>
      <w:r>
        <w:rPr>
          <w:bCs/>
          <w:iCs/>
          <w:szCs w:val="20"/>
        </w:rPr>
        <w:t xml:space="preserve">outros </w:t>
      </w:r>
      <w:r w:rsidRPr="003C00FB">
        <w:rPr>
          <w:bCs/>
          <w:iCs/>
          <w:szCs w:val="20"/>
        </w:rPr>
        <w:t>Órgãos</w:t>
      </w:r>
      <w:r>
        <w:rPr>
          <w:bCs/>
          <w:iCs/>
          <w:szCs w:val="20"/>
        </w:rPr>
        <w:t xml:space="preserve">. </w:t>
      </w:r>
    </w:p>
    <w:p w:rsidR="00AD5735" w:rsidRDefault="00AD5735" w:rsidP="00AD5735">
      <w:pPr>
        <w:rPr>
          <w:bCs/>
          <w:iCs/>
          <w:szCs w:val="20"/>
        </w:rPr>
      </w:pPr>
    </w:p>
    <w:p w:rsidR="00AD5735" w:rsidRDefault="00AD5735" w:rsidP="00AD5735">
      <w:pPr>
        <w:rPr>
          <w:bCs/>
          <w:iCs/>
          <w:szCs w:val="20"/>
        </w:rPr>
      </w:pPr>
      <w:r w:rsidRPr="008C3C23">
        <w:rPr>
          <w:bCs/>
          <w:iCs/>
          <w:szCs w:val="20"/>
        </w:rPr>
        <w:t xml:space="preserve">Conforme exposto no item I, § 3 º, do Art. 4º do DECRETO Nº 7.892, DE 23 DE JANEIRO DE 2013, a área técnica entende que o número máximo de participantes na IRP deve ser 02 (dois), devido ao número limitado de funcionários lotados na área técnica e em outros setores da 2ª </w:t>
      </w:r>
      <w:proofErr w:type="gramStart"/>
      <w:r w:rsidRPr="008C3C23">
        <w:rPr>
          <w:bCs/>
          <w:iCs/>
          <w:szCs w:val="20"/>
        </w:rPr>
        <w:t>SR.</w:t>
      </w:r>
      <w:proofErr w:type="gramEnd"/>
      <w:r w:rsidRPr="008C3C23">
        <w:rPr>
          <w:bCs/>
          <w:iCs/>
          <w:szCs w:val="20"/>
        </w:rPr>
        <w:t xml:space="preserve"> Entendemos que esse número não compromete a capacidade de gerenciamento da Ata de Registro de Preço.</w:t>
      </w:r>
    </w:p>
    <w:p w:rsidR="004C7655" w:rsidRPr="000E55FF" w:rsidRDefault="004C7655" w:rsidP="004C7655">
      <w:pPr>
        <w:rPr>
          <w:szCs w:val="20"/>
          <w:u w:val="single"/>
        </w:rPr>
      </w:pPr>
    </w:p>
    <w:p w:rsidR="004C7655" w:rsidRDefault="004C7655" w:rsidP="004C7655">
      <w:pPr>
        <w:spacing w:after="200" w:line="276" w:lineRule="auto"/>
        <w:rPr>
          <w:b/>
          <w:szCs w:val="20"/>
          <w:u w:val="single"/>
        </w:rPr>
      </w:pPr>
    </w:p>
    <w:p w:rsidR="00C47473" w:rsidRDefault="00C47473" w:rsidP="00C47473">
      <w:pPr>
        <w:rPr>
          <w:rFonts w:eastAsia="Calibri"/>
          <w:bCs/>
          <w:iCs/>
          <w:szCs w:val="20"/>
        </w:rPr>
      </w:pPr>
      <w:r w:rsidRPr="00C47473">
        <w:rPr>
          <w:rFonts w:eastAsia="Calibri"/>
          <w:b/>
          <w:szCs w:val="20"/>
          <w:u w:val="single"/>
        </w:rPr>
        <w:t>Gestor de Ata:</w:t>
      </w:r>
    </w:p>
    <w:p w:rsidR="00C47473" w:rsidRDefault="00C47473" w:rsidP="00C47473">
      <w:pPr>
        <w:rPr>
          <w:rFonts w:eastAsia="Calibri"/>
          <w:bCs/>
          <w:iCs/>
          <w:szCs w:val="20"/>
        </w:rPr>
      </w:pPr>
    </w:p>
    <w:p w:rsidR="00C47473" w:rsidRPr="00C47473" w:rsidRDefault="00C47473" w:rsidP="00C47473">
      <w:pPr>
        <w:rPr>
          <w:rFonts w:eastAsia="Calibri"/>
          <w:bCs/>
          <w:iCs/>
          <w:szCs w:val="20"/>
        </w:rPr>
      </w:pPr>
      <w:r w:rsidRPr="00C47473">
        <w:rPr>
          <w:rFonts w:eastAsia="Calibri"/>
          <w:bCs/>
          <w:iCs/>
          <w:szCs w:val="20"/>
        </w:rPr>
        <w:t xml:space="preserve">Será designado para gerir a Ata de Registro de Preços o </w:t>
      </w:r>
      <w:r>
        <w:rPr>
          <w:rFonts w:eastAsia="Calibri"/>
          <w:bCs/>
          <w:iCs/>
          <w:szCs w:val="20"/>
        </w:rPr>
        <w:t xml:space="preserve">ADR </w:t>
      </w:r>
      <w:r w:rsidR="00131EF2">
        <w:rPr>
          <w:rFonts w:eastAsia="Calibri"/>
          <w:bCs/>
          <w:iCs/>
          <w:szCs w:val="20"/>
        </w:rPr>
        <w:t>Manoel Teixeira de Queiroz Neto</w:t>
      </w:r>
      <w:r w:rsidRPr="00C47473">
        <w:rPr>
          <w:rFonts w:eastAsia="Calibri"/>
          <w:bCs/>
          <w:iCs/>
          <w:szCs w:val="20"/>
        </w:rPr>
        <w:t>, responsável pela fiscalização d</w:t>
      </w:r>
      <w:r>
        <w:rPr>
          <w:rFonts w:eastAsia="Calibri"/>
          <w:bCs/>
          <w:iCs/>
          <w:szCs w:val="20"/>
        </w:rPr>
        <w:t>os contratos.</w:t>
      </w:r>
    </w:p>
    <w:p w:rsidR="00C47473" w:rsidRPr="00C47473" w:rsidRDefault="00C47473" w:rsidP="00C47473">
      <w:pPr>
        <w:rPr>
          <w:rFonts w:eastAsia="Calibri"/>
          <w:bCs/>
          <w:iCs/>
          <w:szCs w:val="20"/>
        </w:rPr>
      </w:pPr>
    </w:p>
    <w:p w:rsidR="00EA2B4C" w:rsidRDefault="00EA2B4C" w:rsidP="00F72F73">
      <w:pPr>
        <w:spacing w:after="200" w:line="276" w:lineRule="auto"/>
        <w:rPr>
          <w:bCs/>
          <w:color w:val="000000" w:themeColor="text1"/>
          <w:szCs w:val="20"/>
        </w:rPr>
      </w:pPr>
    </w:p>
    <w:p w:rsidR="00415005" w:rsidRDefault="00415005" w:rsidP="00F72F73">
      <w:pPr>
        <w:spacing w:after="200" w:line="276" w:lineRule="auto"/>
        <w:rPr>
          <w:bCs/>
          <w:color w:val="000000" w:themeColor="text1"/>
          <w:szCs w:val="20"/>
        </w:rPr>
      </w:pPr>
    </w:p>
    <w:p w:rsidR="004C7655" w:rsidRDefault="004C7655" w:rsidP="00F72F73">
      <w:pPr>
        <w:spacing w:after="200" w:line="276" w:lineRule="auto"/>
        <w:rPr>
          <w:bCs/>
          <w:color w:val="000000" w:themeColor="text1"/>
          <w:szCs w:val="20"/>
        </w:rPr>
      </w:pPr>
    </w:p>
    <w:p w:rsidR="004C7655" w:rsidRDefault="004C7655" w:rsidP="00F72F73">
      <w:pPr>
        <w:spacing w:after="200" w:line="276" w:lineRule="auto"/>
        <w:rPr>
          <w:bCs/>
          <w:color w:val="000000" w:themeColor="text1"/>
          <w:szCs w:val="20"/>
        </w:rPr>
      </w:pPr>
    </w:p>
    <w:p w:rsidR="004C7655" w:rsidRDefault="004C7655" w:rsidP="00F72F73">
      <w:pPr>
        <w:spacing w:after="200" w:line="276" w:lineRule="auto"/>
        <w:rPr>
          <w:bCs/>
          <w:color w:val="000000" w:themeColor="text1"/>
          <w:szCs w:val="20"/>
        </w:rPr>
      </w:pPr>
    </w:p>
    <w:p w:rsidR="004C7655" w:rsidRDefault="004C7655" w:rsidP="00F72F73">
      <w:pPr>
        <w:spacing w:after="200" w:line="276" w:lineRule="auto"/>
        <w:rPr>
          <w:bCs/>
          <w:color w:val="000000" w:themeColor="text1"/>
          <w:szCs w:val="20"/>
        </w:rPr>
      </w:pPr>
    </w:p>
    <w:p w:rsidR="004C7655" w:rsidRDefault="004C7655" w:rsidP="00F72F73">
      <w:pPr>
        <w:spacing w:after="200" w:line="276" w:lineRule="auto"/>
        <w:rPr>
          <w:bCs/>
          <w:color w:val="000000" w:themeColor="text1"/>
          <w:szCs w:val="20"/>
        </w:rPr>
      </w:pPr>
    </w:p>
    <w:p w:rsidR="004C7655" w:rsidRDefault="004C7655" w:rsidP="00F72F73">
      <w:pPr>
        <w:spacing w:after="200" w:line="276" w:lineRule="auto"/>
        <w:rPr>
          <w:bCs/>
          <w:color w:val="000000" w:themeColor="text1"/>
          <w:szCs w:val="20"/>
        </w:rPr>
      </w:pPr>
    </w:p>
    <w:p w:rsidR="004C7655" w:rsidRDefault="004C7655" w:rsidP="00F72F73">
      <w:pPr>
        <w:spacing w:after="200" w:line="276" w:lineRule="auto"/>
        <w:rPr>
          <w:bCs/>
          <w:color w:val="000000" w:themeColor="text1"/>
          <w:szCs w:val="20"/>
        </w:rPr>
      </w:pPr>
    </w:p>
    <w:p w:rsidR="004C7655" w:rsidRDefault="004C7655" w:rsidP="00F72F73">
      <w:pPr>
        <w:spacing w:after="200" w:line="276" w:lineRule="auto"/>
        <w:rPr>
          <w:bCs/>
          <w:color w:val="000000" w:themeColor="text1"/>
          <w:szCs w:val="20"/>
        </w:rPr>
      </w:pPr>
    </w:p>
    <w:p w:rsidR="004C7655" w:rsidRDefault="004C7655" w:rsidP="00F72F73">
      <w:pPr>
        <w:spacing w:after="200" w:line="276" w:lineRule="auto"/>
        <w:rPr>
          <w:bCs/>
          <w:color w:val="000000" w:themeColor="text1"/>
          <w:szCs w:val="20"/>
        </w:rPr>
      </w:pPr>
    </w:p>
    <w:p w:rsidR="004C7655" w:rsidRDefault="004C7655" w:rsidP="00F72F73">
      <w:pPr>
        <w:spacing w:after="200" w:line="276" w:lineRule="auto"/>
        <w:rPr>
          <w:bCs/>
          <w:color w:val="000000" w:themeColor="text1"/>
          <w:szCs w:val="20"/>
        </w:rPr>
      </w:pPr>
    </w:p>
    <w:p w:rsidR="004C7655" w:rsidRDefault="004C7655" w:rsidP="00F72F73">
      <w:pPr>
        <w:spacing w:after="200" w:line="276" w:lineRule="auto"/>
        <w:rPr>
          <w:bCs/>
          <w:color w:val="000000" w:themeColor="text1"/>
          <w:szCs w:val="20"/>
        </w:rPr>
      </w:pPr>
    </w:p>
    <w:p w:rsidR="004C7655" w:rsidRDefault="004C7655" w:rsidP="00F72F73">
      <w:pPr>
        <w:spacing w:after="200" w:line="276" w:lineRule="auto"/>
        <w:rPr>
          <w:bCs/>
          <w:color w:val="000000" w:themeColor="text1"/>
          <w:szCs w:val="20"/>
        </w:rPr>
      </w:pPr>
    </w:p>
    <w:p w:rsidR="00C47473" w:rsidRDefault="00C47473" w:rsidP="00F72F73">
      <w:pPr>
        <w:spacing w:after="200" w:line="276" w:lineRule="auto"/>
        <w:rPr>
          <w:bCs/>
          <w:color w:val="000000" w:themeColor="text1"/>
          <w:szCs w:val="20"/>
        </w:rPr>
      </w:pPr>
    </w:p>
    <w:p w:rsidR="003557D1" w:rsidRDefault="003557D1" w:rsidP="00F72F73">
      <w:pPr>
        <w:spacing w:after="200" w:line="276" w:lineRule="auto"/>
        <w:rPr>
          <w:bCs/>
          <w:color w:val="000000" w:themeColor="text1"/>
          <w:szCs w:val="20"/>
        </w:rPr>
      </w:pPr>
    </w:p>
    <w:p w:rsidR="003557D1" w:rsidRDefault="003557D1" w:rsidP="00F72F73">
      <w:pPr>
        <w:spacing w:after="200" w:line="276" w:lineRule="auto"/>
        <w:rPr>
          <w:bCs/>
          <w:color w:val="000000" w:themeColor="text1"/>
          <w:szCs w:val="20"/>
        </w:rPr>
      </w:pPr>
    </w:p>
    <w:p w:rsidR="003557D1" w:rsidRDefault="003557D1" w:rsidP="00F72F73">
      <w:pPr>
        <w:spacing w:after="200" w:line="276" w:lineRule="auto"/>
        <w:rPr>
          <w:bCs/>
          <w:color w:val="000000" w:themeColor="text1"/>
          <w:szCs w:val="20"/>
        </w:rPr>
      </w:pPr>
    </w:p>
    <w:p w:rsidR="003557D1" w:rsidRDefault="003557D1" w:rsidP="00F72F73">
      <w:pPr>
        <w:spacing w:after="200" w:line="276" w:lineRule="auto"/>
        <w:rPr>
          <w:bCs/>
          <w:color w:val="000000" w:themeColor="text1"/>
          <w:szCs w:val="20"/>
        </w:rPr>
      </w:pPr>
    </w:p>
    <w:p w:rsidR="003557D1" w:rsidRDefault="003557D1" w:rsidP="00F72F73">
      <w:pPr>
        <w:spacing w:after="200" w:line="276" w:lineRule="auto"/>
        <w:rPr>
          <w:bCs/>
          <w:color w:val="000000" w:themeColor="text1"/>
          <w:szCs w:val="20"/>
        </w:rPr>
      </w:pPr>
    </w:p>
    <w:p w:rsidR="003557D1" w:rsidRDefault="003557D1" w:rsidP="00F72F73">
      <w:pPr>
        <w:spacing w:after="200" w:line="276" w:lineRule="auto"/>
        <w:rPr>
          <w:bCs/>
          <w:color w:val="000000" w:themeColor="text1"/>
          <w:szCs w:val="20"/>
        </w:rPr>
      </w:pPr>
    </w:p>
    <w:p w:rsidR="003557D1" w:rsidRDefault="003557D1" w:rsidP="00F72F73">
      <w:pPr>
        <w:spacing w:after="200" w:line="276" w:lineRule="auto"/>
        <w:rPr>
          <w:bCs/>
          <w:color w:val="000000" w:themeColor="text1"/>
          <w:szCs w:val="20"/>
        </w:rPr>
      </w:pPr>
    </w:p>
    <w:p w:rsidR="003557D1" w:rsidRDefault="003557D1" w:rsidP="00F72F73">
      <w:pPr>
        <w:spacing w:after="200" w:line="276" w:lineRule="auto"/>
        <w:rPr>
          <w:bCs/>
          <w:color w:val="000000" w:themeColor="text1"/>
          <w:szCs w:val="20"/>
        </w:rPr>
      </w:pPr>
    </w:p>
    <w:p w:rsidR="003557D1" w:rsidRDefault="003557D1" w:rsidP="00F72F73">
      <w:pPr>
        <w:spacing w:after="200" w:line="276" w:lineRule="auto"/>
        <w:rPr>
          <w:bCs/>
          <w:color w:val="000000" w:themeColor="text1"/>
          <w:szCs w:val="20"/>
        </w:rPr>
      </w:pPr>
    </w:p>
    <w:p w:rsidR="003557D1" w:rsidRDefault="003557D1" w:rsidP="00F72F73">
      <w:pPr>
        <w:spacing w:after="200" w:line="276" w:lineRule="auto"/>
        <w:rPr>
          <w:bCs/>
          <w:color w:val="000000" w:themeColor="text1"/>
          <w:szCs w:val="20"/>
        </w:rPr>
      </w:pPr>
    </w:p>
    <w:p w:rsidR="003557D1" w:rsidRDefault="003557D1" w:rsidP="00F72F73">
      <w:pPr>
        <w:spacing w:after="200" w:line="276" w:lineRule="auto"/>
        <w:rPr>
          <w:bCs/>
          <w:color w:val="000000" w:themeColor="text1"/>
          <w:szCs w:val="20"/>
        </w:rPr>
      </w:pPr>
    </w:p>
    <w:p w:rsidR="005952E6" w:rsidRDefault="005952E6" w:rsidP="005952E6">
      <w:pPr>
        <w:pStyle w:val="Legenda"/>
      </w:pPr>
      <w:bookmarkStart w:id="48" w:name="_Ref450206017"/>
      <w:bookmarkStart w:id="49" w:name="_Ref450206149"/>
      <w:r>
        <w:t>Anexo II: Modelo de Declaração de Conhecimento do Local de Execução dos Serviços</w:t>
      </w:r>
    </w:p>
    <w:p w:rsidR="005952E6" w:rsidRDefault="005952E6" w:rsidP="005952E6">
      <w:pPr>
        <w:pStyle w:val="Legenda"/>
      </w:pPr>
    </w:p>
    <w:p w:rsidR="005952E6" w:rsidRDefault="005952E6" w:rsidP="005952E6">
      <w:pPr>
        <w:pStyle w:val="Legenda"/>
      </w:pPr>
    </w:p>
    <w:p w:rsidR="005952E6" w:rsidRDefault="005952E6" w:rsidP="005952E6">
      <w:pPr>
        <w:pStyle w:val="Legenda"/>
      </w:pPr>
    </w:p>
    <w:p w:rsidR="005952E6" w:rsidRDefault="005952E6" w:rsidP="005952E6">
      <w:pPr>
        <w:pStyle w:val="Legenda"/>
      </w:pPr>
      <w:r>
        <w:t>MODELO DE DECLARAÇÃO DE CONHECIMENTO DO LOCAL DE EXECUÇÃO DOS SERVIÇOS</w:t>
      </w:r>
    </w:p>
    <w:p w:rsidR="005952E6" w:rsidRDefault="005952E6" w:rsidP="005952E6">
      <w:pPr>
        <w:pStyle w:val="Legenda"/>
      </w:pPr>
    </w:p>
    <w:p w:rsidR="005952E6" w:rsidRDefault="005952E6" w:rsidP="00F72F73">
      <w:pPr>
        <w:pStyle w:val="Legenda"/>
        <w:jc w:val="both"/>
      </w:pPr>
    </w:p>
    <w:p w:rsidR="005952E6" w:rsidRDefault="005952E6" w:rsidP="00F72F73">
      <w:pPr>
        <w:pStyle w:val="Legenda"/>
        <w:jc w:val="both"/>
      </w:pPr>
      <w:r>
        <w:t xml:space="preserve">O Licitante (NOME DA EMPRESA), inscrito no CNPJ/MF nº (CNPJ DA EMPRESA), por seu representante legal (ou responsável técnico) abaixo assinado, declara, sob as penalidades da lei, de que conhece o local onde serão executadas </w:t>
      </w:r>
      <w:r w:rsidR="00A91F02">
        <w:t>os serviços de engenharia</w:t>
      </w:r>
      <w:r>
        <w:t>, se inteirou dos dados indispensáveis à apresentação da proposta, e que os preços a serem propostos cobrirão quaisquer despesas que incidam ou venham a incidir sobre a execução d</w:t>
      </w:r>
      <w:r w:rsidR="00A91F02">
        <w:t>os serviços</w:t>
      </w:r>
      <w:r>
        <w:t>, tendo obtido todas as informações necessárias para a elaboração da proposta e execução do contrato.</w:t>
      </w:r>
    </w:p>
    <w:p w:rsidR="005952E6" w:rsidRDefault="005952E6" w:rsidP="00F72F73">
      <w:pPr>
        <w:pStyle w:val="Legenda"/>
        <w:jc w:val="both"/>
      </w:pPr>
    </w:p>
    <w:p w:rsidR="005952E6" w:rsidRDefault="005952E6" w:rsidP="00F72F73">
      <w:pPr>
        <w:pStyle w:val="Legenda"/>
        <w:jc w:val="both"/>
      </w:pPr>
    </w:p>
    <w:p w:rsidR="005952E6" w:rsidRDefault="005952E6" w:rsidP="005952E6">
      <w:pPr>
        <w:pStyle w:val="Legenda"/>
      </w:pPr>
      <w:r>
        <w:t>Cidade, ___/___/201___</w:t>
      </w:r>
    </w:p>
    <w:p w:rsidR="005952E6" w:rsidRDefault="005952E6" w:rsidP="005952E6">
      <w:pPr>
        <w:pStyle w:val="Legenda"/>
      </w:pPr>
    </w:p>
    <w:p w:rsidR="005952E6" w:rsidRDefault="005952E6" w:rsidP="005952E6">
      <w:pPr>
        <w:pStyle w:val="Legenda"/>
      </w:pPr>
      <w:r>
        <w:t>____________________________________</w:t>
      </w:r>
    </w:p>
    <w:p w:rsidR="005952E6" w:rsidRDefault="005952E6" w:rsidP="005952E6">
      <w:pPr>
        <w:pStyle w:val="Legenda"/>
      </w:pPr>
      <w:r>
        <w:t>Assinatura do representante legal</w:t>
      </w:r>
    </w:p>
    <w:p w:rsidR="005952E6" w:rsidRDefault="005952E6" w:rsidP="005952E6">
      <w:pPr>
        <w:pStyle w:val="Legenda"/>
      </w:pPr>
    </w:p>
    <w:p w:rsidR="005952E6" w:rsidRDefault="005952E6" w:rsidP="005952E6">
      <w:pPr>
        <w:pStyle w:val="Legenda"/>
      </w:pPr>
      <w:r>
        <w:t>Nome: _____________________________</w:t>
      </w:r>
    </w:p>
    <w:p w:rsidR="005952E6" w:rsidRDefault="005952E6" w:rsidP="005952E6">
      <w:pPr>
        <w:pStyle w:val="Legenda"/>
      </w:pPr>
    </w:p>
    <w:p w:rsidR="005952E6" w:rsidRDefault="005952E6" w:rsidP="005952E6">
      <w:pPr>
        <w:pStyle w:val="Legenda"/>
      </w:pPr>
      <w:r>
        <w:t>Função: ____________________________</w:t>
      </w:r>
    </w:p>
    <w:p w:rsidR="005952E6" w:rsidRDefault="005952E6" w:rsidP="005952E6">
      <w:pPr>
        <w:pStyle w:val="Legenda"/>
      </w:pPr>
    </w:p>
    <w:p w:rsidR="007D3D85" w:rsidRDefault="007D3D85" w:rsidP="00123C9F">
      <w:pPr>
        <w:pStyle w:val="Legenda"/>
      </w:pPr>
    </w:p>
    <w:p w:rsidR="00EE4B14" w:rsidRDefault="00EE4B14" w:rsidP="005952E6">
      <w:pPr>
        <w:rPr>
          <w:rFonts w:ascii="Arial Negrito" w:hAnsi="Arial Negrito"/>
          <w:b/>
          <w:bCs/>
          <w:noProof/>
          <w:szCs w:val="18"/>
        </w:rPr>
      </w:pPr>
      <w:r>
        <w:rPr>
          <w:rFonts w:ascii="Arial Negrito" w:hAnsi="Arial Negrito"/>
          <w:b/>
          <w:bCs/>
          <w:noProof/>
          <w:szCs w:val="18"/>
        </w:rPr>
        <w:br w:type="page"/>
      </w:r>
    </w:p>
    <w:p w:rsidR="005952E6" w:rsidRPr="005952E6" w:rsidRDefault="005952E6" w:rsidP="005952E6"/>
    <w:p w:rsidR="00797B58" w:rsidRDefault="00123C9F" w:rsidP="00EE4B14">
      <w:pPr>
        <w:pStyle w:val="Legenda"/>
        <w:rPr>
          <w:szCs w:val="20"/>
        </w:rPr>
      </w:pPr>
      <w:r>
        <w:t xml:space="preserve">Anexo </w:t>
      </w:r>
      <w:bookmarkEnd w:id="48"/>
      <w:r w:rsidR="005952E6">
        <w:t>I</w:t>
      </w:r>
      <w:r w:rsidR="000A7092">
        <w:t>II</w:t>
      </w:r>
      <w:r w:rsidR="0040590C">
        <w:rPr>
          <w:szCs w:val="20"/>
        </w:rPr>
        <w:t>: Detalhamento dos Encargos Sociais e do BDI</w:t>
      </w:r>
      <w:bookmarkEnd w:id="49"/>
    </w:p>
    <w:p w:rsidR="005863EA" w:rsidRDefault="005863EA" w:rsidP="005863EA"/>
    <w:p w:rsidR="005863EA" w:rsidRPr="005863EA" w:rsidRDefault="005863EA" w:rsidP="005863EA"/>
    <w:p w:rsidR="005863EA" w:rsidRPr="00EB3286" w:rsidRDefault="00797B58" w:rsidP="00797B58">
      <w:pPr>
        <w:jc w:val="center"/>
        <w:rPr>
          <w:b/>
          <w:szCs w:val="20"/>
        </w:rPr>
      </w:pPr>
      <w:r w:rsidRPr="00EB3286">
        <w:rPr>
          <w:b/>
          <w:szCs w:val="20"/>
          <w:lang w:eastAsia="pt-BR"/>
        </w:rPr>
        <w:t xml:space="preserve">PO-XIV – </w:t>
      </w:r>
      <w:r w:rsidRPr="00EB3286">
        <w:rPr>
          <w:b/>
          <w:szCs w:val="20"/>
        </w:rPr>
        <w:t>Detalhamento</w:t>
      </w:r>
      <w:r w:rsidRPr="00EB3286">
        <w:rPr>
          <w:b/>
          <w:szCs w:val="20"/>
          <w:lang w:eastAsia="pt-BR"/>
        </w:rPr>
        <w:t xml:space="preserve"> dos Encargos So</w:t>
      </w:r>
      <w:r w:rsidR="007D3D85">
        <w:rPr>
          <w:b/>
          <w:szCs w:val="20"/>
          <w:lang w:eastAsia="pt-BR"/>
        </w:rPr>
        <w:t xml:space="preserve">ciais – </w:t>
      </w:r>
      <w:proofErr w:type="spellStart"/>
      <w:r w:rsidR="007D3D85">
        <w:rPr>
          <w:b/>
          <w:szCs w:val="20"/>
          <w:lang w:eastAsia="pt-BR"/>
        </w:rPr>
        <w:t>Horista</w:t>
      </w:r>
      <w:proofErr w:type="spellEnd"/>
      <w:r w:rsidR="007D3D85">
        <w:rPr>
          <w:b/>
          <w:szCs w:val="20"/>
          <w:lang w:eastAsia="pt-BR"/>
        </w:rPr>
        <w:t xml:space="preserve"> e </w:t>
      </w:r>
      <w:proofErr w:type="gramStart"/>
      <w:r w:rsidR="007D3D85">
        <w:rPr>
          <w:b/>
          <w:szCs w:val="20"/>
          <w:lang w:eastAsia="pt-BR"/>
        </w:rPr>
        <w:t>Mensalista –</w:t>
      </w:r>
      <w:r w:rsidR="00AB1352">
        <w:rPr>
          <w:b/>
          <w:szCs w:val="20"/>
          <w:lang w:eastAsia="pt-BR"/>
        </w:rPr>
        <w:t>Sem</w:t>
      </w:r>
      <w:proofErr w:type="gramEnd"/>
      <w:r w:rsidRPr="00FE7C3C">
        <w:rPr>
          <w:b/>
          <w:szCs w:val="20"/>
          <w:lang w:eastAsia="pt-BR"/>
        </w:rPr>
        <w:t xml:space="preserve"> D</w:t>
      </w:r>
      <w:r w:rsidRPr="00EB3286">
        <w:rPr>
          <w:b/>
          <w:szCs w:val="20"/>
          <w:lang w:eastAsia="pt-BR"/>
        </w:rPr>
        <w:t xml:space="preserve">esoneração </w:t>
      </w:r>
    </w:p>
    <w:p w:rsidR="00797B58" w:rsidRPr="00EB3286" w:rsidRDefault="00797B58" w:rsidP="00797B58">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4"/>
        <w:gridCol w:w="5349"/>
        <w:gridCol w:w="1416"/>
        <w:gridCol w:w="1776"/>
      </w:tblGrid>
      <w:tr w:rsidR="00AB1352" w:rsidRPr="00EB3286" w:rsidTr="003B4D7D">
        <w:trPr>
          <w:trHeight w:val="113"/>
          <w:jc w:val="center"/>
        </w:trPr>
        <w:tc>
          <w:tcPr>
            <w:tcW w:w="5993" w:type="dxa"/>
            <w:gridSpan w:val="2"/>
            <w:vMerge w:val="restart"/>
            <w:shd w:val="clear" w:color="auto" w:fill="auto"/>
            <w:vAlign w:val="center"/>
          </w:tcPr>
          <w:p w:rsidR="00AB1352" w:rsidRPr="00EB3286" w:rsidRDefault="00AB1352" w:rsidP="003B4D7D">
            <w:pPr>
              <w:jc w:val="center"/>
              <w:rPr>
                <w:b/>
                <w:szCs w:val="20"/>
              </w:rPr>
            </w:pPr>
            <w:r w:rsidRPr="00EB3286">
              <w:rPr>
                <w:b/>
                <w:szCs w:val="20"/>
              </w:rPr>
              <w:t>DISCRIMINAÇÃO</w:t>
            </w:r>
          </w:p>
        </w:tc>
        <w:tc>
          <w:tcPr>
            <w:tcW w:w="1416" w:type="dxa"/>
            <w:shd w:val="clear" w:color="auto" w:fill="auto"/>
            <w:vAlign w:val="center"/>
          </w:tcPr>
          <w:p w:rsidR="00AB1352" w:rsidRPr="00EB3286" w:rsidRDefault="00AB1352" w:rsidP="003B4D7D">
            <w:pPr>
              <w:jc w:val="center"/>
              <w:rPr>
                <w:b/>
                <w:szCs w:val="20"/>
              </w:rPr>
            </w:pPr>
            <w:r w:rsidRPr="00EB3286">
              <w:rPr>
                <w:b/>
                <w:szCs w:val="20"/>
              </w:rPr>
              <w:t>HORISTA</w:t>
            </w:r>
          </w:p>
        </w:tc>
        <w:tc>
          <w:tcPr>
            <w:tcW w:w="1776" w:type="dxa"/>
            <w:shd w:val="clear" w:color="auto" w:fill="auto"/>
            <w:vAlign w:val="center"/>
          </w:tcPr>
          <w:p w:rsidR="00AB1352" w:rsidRPr="00EB3286" w:rsidRDefault="00AB1352" w:rsidP="003B4D7D">
            <w:pPr>
              <w:jc w:val="center"/>
              <w:rPr>
                <w:b/>
                <w:szCs w:val="20"/>
              </w:rPr>
            </w:pPr>
            <w:r w:rsidRPr="00EB3286">
              <w:rPr>
                <w:b/>
                <w:szCs w:val="20"/>
              </w:rPr>
              <w:t>MENSALISTA</w:t>
            </w:r>
          </w:p>
        </w:tc>
      </w:tr>
      <w:tr w:rsidR="00AB1352" w:rsidRPr="00EB3286" w:rsidTr="003B4D7D">
        <w:trPr>
          <w:trHeight w:val="113"/>
          <w:jc w:val="center"/>
        </w:trPr>
        <w:tc>
          <w:tcPr>
            <w:tcW w:w="5993" w:type="dxa"/>
            <w:gridSpan w:val="2"/>
            <w:vMerge/>
            <w:shd w:val="clear" w:color="auto" w:fill="auto"/>
            <w:vAlign w:val="center"/>
          </w:tcPr>
          <w:p w:rsidR="00AB1352" w:rsidRPr="00EB3286" w:rsidRDefault="00AB1352" w:rsidP="003B4D7D">
            <w:pPr>
              <w:rPr>
                <w:szCs w:val="20"/>
              </w:rPr>
            </w:pPr>
          </w:p>
        </w:tc>
        <w:tc>
          <w:tcPr>
            <w:tcW w:w="1416" w:type="dxa"/>
            <w:shd w:val="clear" w:color="auto" w:fill="auto"/>
            <w:vAlign w:val="center"/>
          </w:tcPr>
          <w:p w:rsidR="00AB1352" w:rsidRPr="00EB3286" w:rsidRDefault="00AB1352" w:rsidP="003B4D7D">
            <w:pPr>
              <w:jc w:val="center"/>
              <w:rPr>
                <w:b/>
                <w:szCs w:val="20"/>
              </w:rPr>
            </w:pPr>
            <w:r w:rsidRPr="00EB3286">
              <w:rPr>
                <w:b/>
                <w:szCs w:val="20"/>
              </w:rPr>
              <w:t>%</w:t>
            </w:r>
          </w:p>
        </w:tc>
        <w:tc>
          <w:tcPr>
            <w:tcW w:w="1776" w:type="dxa"/>
            <w:shd w:val="clear" w:color="auto" w:fill="auto"/>
            <w:vAlign w:val="center"/>
          </w:tcPr>
          <w:p w:rsidR="00AB1352" w:rsidRPr="00EB3286" w:rsidRDefault="00AB1352" w:rsidP="003B4D7D">
            <w:pPr>
              <w:jc w:val="center"/>
              <w:rPr>
                <w:b/>
                <w:szCs w:val="20"/>
              </w:rPr>
            </w:pPr>
            <w:r w:rsidRPr="00EB3286">
              <w:rPr>
                <w:b/>
                <w:szCs w:val="20"/>
              </w:rPr>
              <w:t>%</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b/>
                <w:szCs w:val="20"/>
              </w:rPr>
            </w:pPr>
            <w:r w:rsidRPr="00EB3286">
              <w:rPr>
                <w:b/>
                <w:szCs w:val="20"/>
              </w:rPr>
              <w:t>A</w:t>
            </w:r>
          </w:p>
        </w:tc>
        <w:tc>
          <w:tcPr>
            <w:tcW w:w="8541" w:type="dxa"/>
            <w:gridSpan w:val="3"/>
            <w:shd w:val="clear" w:color="auto" w:fill="auto"/>
            <w:vAlign w:val="center"/>
          </w:tcPr>
          <w:p w:rsidR="00AB1352" w:rsidRPr="00EB3286" w:rsidRDefault="00AB1352" w:rsidP="003B4D7D">
            <w:pPr>
              <w:rPr>
                <w:b/>
                <w:szCs w:val="20"/>
              </w:rPr>
            </w:pPr>
            <w:r w:rsidRPr="00EB3286">
              <w:rPr>
                <w:b/>
                <w:szCs w:val="20"/>
              </w:rPr>
              <w:t>ENCARGOS SOCIAIS BÁSICOS</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A1</w:t>
            </w:r>
          </w:p>
        </w:tc>
        <w:tc>
          <w:tcPr>
            <w:tcW w:w="5349" w:type="dxa"/>
            <w:shd w:val="clear" w:color="auto" w:fill="auto"/>
            <w:vAlign w:val="center"/>
          </w:tcPr>
          <w:p w:rsidR="00AB1352" w:rsidRPr="00EB3286" w:rsidRDefault="00AB1352" w:rsidP="003B4D7D">
            <w:pPr>
              <w:rPr>
                <w:szCs w:val="20"/>
              </w:rPr>
            </w:pPr>
            <w:r w:rsidRPr="00EB3286">
              <w:rPr>
                <w:szCs w:val="20"/>
              </w:rPr>
              <w:t>INSS</w:t>
            </w:r>
          </w:p>
        </w:tc>
        <w:tc>
          <w:tcPr>
            <w:tcW w:w="1416" w:type="dxa"/>
            <w:shd w:val="clear" w:color="auto" w:fill="auto"/>
            <w:vAlign w:val="center"/>
          </w:tcPr>
          <w:p w:rsidR="00AB1352" w:rsidRPr="007C658D" w:rsidRDefault="00AB1352" w:rsidP="003B4D7D">
            <w:pPr>
              <w:jc w:val="center"/>
              <w:rPr>
                <w:szCs w:val="20"/>
              </w:rPr>
            </w:pPr>
            <w:r w:rsidRPr="007C658D">
              <w:rPr>
                <w:szCs w:val="20"/>
              </w:rPr>
              <w:t>20,00</w:t>
            </w:r>
          </w:p>
        </w:tc>
        <w:tc>
          <w:tcPr>
            <w:tcW w:w="1776" w:type="dxa"/>
            <w:shd w:val="clear" w:color="auto" w:fill="auto"/>
            <w:vAlign w:val="center"/>
          </w:tcPr>
          <w:p w:rsidR="00AB1352" w:rsidRPr="007C658D" w:rsidRDefault="00AB1352" w:rsidP="003B4D7D">
            <w:pPr>
              <w:jc w:val="center"/>
              <w:rPr>
                <w:szCs w:val="20"/>
              </w:rPr>
            </w:pPr>
            <w:r w:rsidRPr="007C658D">
              <w:rPr>
                <w:szCs w:val="20"/>
              </w:rPr>
              <w:t>20,00</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A2</w:t>
            </w:r>
          </w:p>
        </w:tc>
        <w:tc>
          <w:tcPr>
            <w:tcW w:w="5349" w:type="dxa"/>
            <w:shd w:val="clear" w:color="auto" w:fill="auto"/>
            <w:vAlign w:val="center"/>
          </w:tcPr>
          <w:p w:rsidR="00AB1352" w:rsidRPr="00EB3286" w:rsidRDefault="00AB1352" w:rsidP="003B4D7D">
            <w:pPr>
              <w:rPr>
                <w:szCs w:val="20"/>
              </w:rPr>
            </w:pPr>
            <w:r w:rsidRPr="00EB3286">
              <w:rPr>
                <w:szCs w:val="20"/>
              </w:rPr>
              <w:t>SESI</w:t>
            </w:r>
          </w:p>
        </w:tc>
        <w:tc>
          <w:tcPr>
            <w:tcW w:w="1416" w:type="dxa"/>
            <w:shd w:val="clear" w:color="auto" w:fill="auto"/>
            <w:vAlign w:val="center"/>
          </w:tcPr>
          <w:p w:rsidR="00AB1352" w:rsidRPr="007C658D" w:rsidRDefault="00AB1352" w:rsidP="003B4D7D">
            <w:pPr>
              <w:jc w:val="center"/>
              <w:rPr>
                <w:szCs w:val="20"/>
              </w:rPr>
            </w:pPr>
            <w:r w:rsidRPr="007C658D">
              <w:rPr>
                <w:szCs w:val="20"/>
              </w:rPr>
              <w:t>1,50</w:t>
            </w:r>
          </w:p>
        </w:tc>
        <w:tc>
          <w:tcPr>
            <w:tcW w:w="1776" w:type="dxa"/>
            <w:shd w:val="clear" w:color="auto" w:fill="auto"/>
            <w:vAlign w:val="center"/>
          </w:tcPr>
          <w:p w:rsidR="00AB1352" w:rsidRPr="007C658D" w:rsidRDefault="00AB1352" w:rsidP="003B4D7D">
            <w:pPr>
              <w:jc w:val="center"/>
              <w:rPr>
                <w:szCs w:val="20"/>
              </w:rPr>
            </w:pPr>
            <w:r w:rsidRPr="007C658D">
              <w:rPr>
                <w:szCs w:val="20"/>
              </w:rPr>
              <w:t>1,50</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A3</w:t>
            </w:r>
          </w:p>
        </w:tc>
        <w:tc>
          <w:tcPr>
            <w:tcW w:w="5349" w:type="dxa"/>
            <w:shd w:val="clear" w:color="auto" w:fill="auto"/>
            <w:vAlign w:val="center"/>
          </w:tcPr>
          <w:p w:rsidR="00AB1352" w:rsidRPr="00EB3286" w:rsidRDefault="00AB1352" w:rsidP="003B4D7D">
            <w:pPr>
              <w:rPr>
                <w:szCs w:val="20"/>
              </w:rPr>
            </w:pPr>
            <w:r w:rsidRPr="00EB3286">
              <w:rPr>
                <w:szCs w:val="20"/>
              </w:rPr>
              <w:t>SENAI</w:t>
            </w:r>
          </w:p>
        </w:tc>
        <w:tc>
          <w:tcPr>
            <w:tcW w:w="1416" w:type="dxa"/>
            <w:shd w:val="clear" w:color="auto" w:fill="auto"/>
            <w:vAlign w:val="center"/>
          </w:tcPr>
          <w:p w:rsidR="00AB1352" w:rsidRPr="007C658D" w:rsidRDefault="00AB1352" w:rsidP="003B4D7D">
            <w:pPr>
              <w:jc w:val="center"/>
              <w:rPr>
                <w:szCs w:val="20"/>
              </w:rPr>
            </w:pPr>
            <w:r w:rsidRPr="007C658D">
              <w:rPr>
                <w:szCs w:val="20"/>
              </w:rPr>
              <w:t>1,00</w:t>
            </w:r>
          </w:p>
        </w:tc>
        <w:tc>
          <w:tcPr>
            <w:tcW w:w="1776" w:type="dxa"/>
            <w:shd w:val="clear" w:color="auto" w:fill="auto"/>
            <w:vAlign w:val="center"/>
          </w:tcPr>
          <w:p w:rsidR="00AB1352" w:rsidRPr="007C658D" w:rsidRDefault="00AB1352" w:rsidP="003B4D7D">
            <w:pPr>
              <w:jc w:val="center"/>
              <w:rPr>
                <w:szCs w:val="20"/>
              </w:rPr>
            </w:pPr>
            <w:r w:rsidRPr="007C658D">
              <w:rPr>
                <w:szCs w:val="20"/>
              </w:rPr>
              <w:t>1,00</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A4</w:t>
            </w:r>
          </w:p>
        </w:tc>
        <w:tc>
          <w:tcPr>
            <w:tcW w:w="5349" w:type="dxa"/>
            <w:shd w:val="clear" w:color="auto" w:fill="auto"/>
            <w:vAlign w:val="center"/>
          </w:tcPr>
          <w:p w:rsidR="00AB1352" w:rsidRPr="00EB3286" w:rsidRDefault="00AB1352" w:rsidP="003B4D7D">
            <w:pPr>
              <w:rPr>
                <w:szCs w:val="20"/>
              </w:rPr>
            </w:pPr>
            <w:r w:rsidRPr="00EB3286">
              <w:rPr>
                <w:szCs w:val="20"/>
              </w:rPr>
              <w:t>INCRA</w:t>
            </w:r>
          </w:p>
        </w:tc>
        <w:tc>
          <w:tcPr>
            <w:tcW w:w="1416" w:type="dxa"/>
            <w:shd w:val="clear" w:color="auto" w:fill="auto"/>
            <w:vAlign w:val="center"/>
          </w:tcPr>
          <w:p w:rsidR="00AB1352" w:rsidRPr="007C658D" w:rsidRDefault="00AB1352" w:rsidP="003B4D7D">
            <w:pPr>
              <w:jc w:val="center"/>
              <w:rPr>
                <w:szCs w:val="20"/>
              </w:rPr>
            </w:pPr>
            <w:r w:rsidRPr="007C658D">
              <w:rPr>
                <w:szCs w:val="20"/>
              </w:rPr>
              <w:t>0,20</w:t>
            </w:r>
          </w:p>
        </w:tc>
        <w:tc>
          <w:tcPr>
            <w:tcW w:w="1776" w:type="dxa"/>
            <w:shd w:val="clear" w:color="auto" w:fill="auto"/>
            <w:vAlign w:val="center"/>
          </w:tcPr>
          <w:p w:rsidR="00AB1352" w:rsidRPr="007C658D" w:rsidRDefault="00AB1352" w:rsidP="003B4D7D">
            <w:pPr>
              <w:jc w:val="center"/>
              <w:rPr>
                <w:szCs w:val="20"/>
              </w:rPr>
            </w:pPr>
            <w:r w:rsidRPr="007C658D">
              <w:rPr>
                <w:szCs w:val="20"/>
              </w:rPr>
              <w:t>0,20</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A5</w:t>
            </w:r>
          </w:p>
        </w:tc>
        <w:tc>
          <w:tcPr>
            <w:tcW w:w="5349" w:type="dxa"/>
            <w:shd w:val="clear" w:color="auto" w:fill="auto"/>
            <w:vAlign w:val="center"/>
          </w:tcPr>
          <w:p w:rsidR="00AB1352" w:rsidRPr="00EB3286" w:rsidRDefault="00AB1352" w:rsidP="003B4D7D">
            <w:pPr>
              <w:rPr>
                <w:szCs w:val="20"/>
              </w:rPr>
            </w:pPr>
            <w:r w:rsidRPr="00EB3286">
              <w:rPr>
                <w:szCs w:val="20"/>
              </w:rPr>
              <w:t>SEBRAE</w:t>
            </w:r>
          </w:p>
        </w:tc>
        <w:tc>
          <w:tcPr>
            <w:tcW w:w="1416" w:type="dxa"/>
            <w:shd w:val="clear" w:color="auto" w:fill="auto"/>
            <w:vAlign w:val="center"/>
          </w:tcPr>
          <w:p w:rsidR="00AB1352" w:rsidRPr="007C658D" w:rsidRDefault="00AB1352" w:rsidP="003B4D7D">
            <w:pPr>
              <w:jc w:val="center"/>
              <w:rPr>
                <w:szCs w:val="20"/>
              </w:rPr>
            </w:pPr>
            <w:r w:rsidRPr="007C658D">
              <w:rPr>
                <w:szCs w:val="20"/>
              </w:rPr>
              <w:t>0,60</w:t>
            </w:r>
          </w:p>
        </w:tc>
        <w:tc>
          <w:tcPr>
            <w:tcW w:w="1776" w:type="dxa"/>
            <w:shd w:val="clear" w:color="auto" w:fill="auto"/>
            <w:vAlign w:val="center"/>
          </w:tcPr>
          <w:p w:rsidR="00AB1352" w:rsidRPr="007C658D" w:rsidRDefault="00AB1352" w:rsidP="003B4D7D">
            <w:pPr>
              <w:jc w:val="center"/>
              <w:rPr>
                <w:szCs w:val="20"/>
              </w:rPr>
            </w:pPr>
            <w:r w:rsidRPr="007C658D">
              <w:rPr>
                <w:szCs w:val="20"/>
              </w:rPr>
              <w:t>0,60</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A6</w:t>
            </w:r>
          </w:p>
        </w:tc>
        <w:tc>
          <w:tcPr>
            <w:tcW w:w="5349" w:type="dxa"/>
            <w:shd w:val="clear" w:color="auto" w:fill="auto"/>
            <w:vAlign w:val="center"/>
          </w:tcPr>
          <w:p w:rsidR="00AB1352" w:rsidRPr="00EB3286" w:rsidRDefault="00AB1352" w:rsidP="003B4D7D">
            <w:pPr>
              <w:rPr>
                <w:szCs w:val="20"/>
              </w:rPr>
            </w:pPr>
            <w:r w:rsidRPr="00EB3286">
              <w:rPr>
                <w:szCs w:val="20"/>
              </w:rPr>
              <w:t>Salário Educação</w:t>
            </w:r>
          </w:p>
        </w:tc>
        <w:tc>
          <w:tcPr>
            <w:tcW w:w="1416" w:type="dxa"/>
            <w:shd w:val="clear" w:color="auto" w:fill="auto"/>
            <w:vAlign w:val="center"/>
          </w:tcPr>
          <w:p w:rsidR="00AB1352" w:rsidRPr="007C658D" w:rsidRDefault="00AB1352" w:rsidP="003B4D7D">
            <w:pPr>
              <w:jc w:val="center"/>
              <w:rPr>
                <w:szCs w:val="20"/>
              </w:rPr>
            </w:pPr>
            <w:r w:rsidRPr="007C658D">
              <w:rPr>
                <w:szCs w:val="20"/>
              </w:rPr>
              <w:t>2,50</w:t>
            </w:r>
          </w:p>
        </w:tc>
        <w:tc>
          <w:tcPr>
            <w:tcW w:w="1776" w:type="dxa"/>
            <w:shd w:val="clear" w:color="auto" w:fill="auto"/>
            <w:vAlign w:val="center"/>
          </w:tcPr>
          <w:p w:rsidR="00AB1352" w:rsidRPr="007C658D" w:rsidRDefault="00AB1352" w:rsidP="003B4D7D">
            <w:pPr>
              <w:jc w:val="center"/>
              <w:rPr>
                <w:szCs w:val="20"/>
              </w:rPr>
            </w:pPr>
            <w:r w:rsidRPr="007C658D">
              <w:rPr>
                <w:szCs w:val="20"/>
              </w:rPr>
              <w:t>2,50</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A7</w:t>
            </w:r>
          </w:p>
        </w:tc>
        <w:tc>
          <w:tcPr>
            <w:tcW w:w="5349" w:type="dxa"/>
            <w:shd w:val="clear" w:color="auto" w:fill="auto"/>
            <w:vAlign w:val="center"/>
          </w:tcPr>
          <w:p w:rsidR="00AB1352" w:rsidRPr="00EB3286" w:rsidRDefault="00AB1352" w:rsidP="003B4D7D">
            <w:pPr>
              <w:rPr>
                <w:szCs w:val="20"/>
              </w:rPr>
            </w:pPr>
            <w:r w:rsidRPr="00EB3286">
              <w:rPr>
                <w:szCs w:val="20"/>
              </w:rPr>
              <w:t>Seguro Contra Acidente de Trabalho</w:t>
            </w:r>
          </w:p>
        </w:tc>
        <w:tc>
          <w:tcPr>
            <w:tcW w:w="1416" w:type="dxa"/>
            <w:shd w:val="clear" w:color="auto" w:fill="auto"/>
            <w:vAlign w:val="center"/>
          </w:tcPr>
          <w:p w:rsidR="00AB1352" w:rsidRPr="007C658D" w:rsidRDefault="00AB1352" w:rsidP="003B4D7D">
            <w:pPr>
              <w:jc w:val="center"/>
              <w:rPr>
                <w:szCs w:val="20"/>
              </w:rPr>
            </w:pPr>
            <w:r w:rsidRPr="007C658D">
              <w:rPr>
                <w:szCs w:val="20"/>
              </w:rPr>
              <w:t>3,00</w:t>
            </w:r>
          </w:p>
        </w:tc>
        <w:tc>
          <w:tcPr>
            <w:tcW w:w="1776" w:type="dxa"/>
            <w:shd w:val="clear" w:color="auto" w:fill="auto"/>
            <w:vAlign w:val="center"/>
          </w:tcPr>
          <w:p w:rsidR="00AB1352" w:rsidRPr="007C658D" w:rsidRDefault="00AB1352" w:rsidP="003B4D7D">
            <w:pPr>
              <w:jc w:val="center"/>
              <w:rPr>
                <w:szCs w:val="20"/>
              </w:rPr>
            </w:pPr>
            <w:r w:rsidRPr="007C658D">
              <w:rPr>
                <w:szCs w:val="20"/>
              </w:rPr>
              <w:t>3,00</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A8</w:t>
            </w:r>
          </w:p>
        </w:tc>
        <w:tc>
          <w:tcPr>
            <w:tcW w:w="5349" w:type="dxa"/>
            <w:shd w:val="clear" w:color="auto" w:fill="auto"/>
            <w:vAlign w:val="center"/>
          </w:tcPr>
          <w:p w:rsidR="00AB1352" w:rsidRPr="00EB3286" w:rsidRDefault="00AB1352" w:rsidP="003B4D7D">
            <w:pPr>
              <w:rPr>
                <w:szCs w:val="20"/>
              </w:rPr>
            </w:pPr>
            <w:r w:rsidRPr="00EB3286">
              <w:rPr>
                <w:szCs w:val="20"/>
              </w:rPr>
              <w:t>FGTS</w:t>
            </w:r>
          </w:p>
        </w:tc>
        <w:tc>
          <w:tcPr>
            <w:tcW w:w="1416" w:type="dxa"/>
            <w:shd w:val="clear" w:color="auto" w:fill="auto"/>
            <w:vAlign w:val="center"/>
          </w:tcPr>
          <w:p w:rsidR="00AB1352" w:rsidRPr="007C658D" w:rsidRDefault="00AB1352" w:rsidP="003B4D7D">
            <w:pPr>
              <w:jc w:val="center"/>
              <w:rPr>
                <w:szCs w:val="20"/>
              </w:rPr>
            </w:pPr>
            <w:r w:rsidRPr="007C658D">
              <w:rPr>
                <w:szCs w:val="20"/>
              </w:rPr>
              <w:t>8,00</w:t>
            </w:r>
          </w:p>
        </w:tc>
        <w:tc>
          <w:tcPr>
            <w:tcW w:w="1776" w:type="dxa"/>
            <w:shd w:val="clear" w:color="auto" w:fill="auto"/>
            <w:vAlign w:val="center"/>
          </w:tcPr>
          <w:p w:rsidR="00AB1352" w:rsidRPr="007C658D" w:rsidRDefault="00AB1352" w:rsidP="003B4D7D">
            <w:pPr>
              <w:jc w:val="center"/>
              <w:rPr>
                <w:szCs w:val="20"/>
              </w:rPr>
            </w:pPr>
            <w:r w:rsidRPr="007C658D">
              <w:rPr>
                <w:szCs w:val="20"/>
              </w:rPr>
              <w:t>8,00</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A9</w:t>
            </w:r>
          </w:p>
        </w:tc>
        <w:tc>
          <w:tcPr>
            <w:tcW w:w="5349" w:type="dxa"/>
            <w:shd w:val="clear" w:color="auto" w:fill="auto"/>
            <w:vAlign w:val="center"/>
          </w:tcPr>
          <w:p w:rsidR="00AB1352" w:rsidRPr="00EB3286" w:rsidRDefault="00AB1352" w:rsidP="003B4D7D">
            <w:pPr>
              <w:rPr>
                <w:szCs w:val="20"/>
              </w:rPr>
            </w:pPr>
            <w:r w:rsidRPr="00EB3286">
              <w:rPr>
                <w:szCs w:val="20"/>
              </w:rPr>
              <w:t>SECONCI</w:t>
            </w:r>
          </w:p>
        </w:tc>
        <w:tc>
          <w:tcPr>
            <w:tcW w:w="1416" w:type="dxa"/>
            <w:shd w:val="clear" w:color="auto" w:fill="auto"/>
            <w:vAlign w:val="center"/>
          </w:tcPr>
          <w:p w:rsidR="00AB1352" w:rsidRPr="007C658D" w:rsidRDefault="00AB1352" w:rsidP="003B4D7D">
            <w:pPr>
              <w:jc w:val="center"/>
              <w:rPr>
                <w:szCs w:val="20"/>
              </w:rPr>
            </w:pPr>
            <w:r w:rsidRPr="007C658D">
              <w:rPr>
                <w:szCs w:val="20"/>
              </w:rPr>
              <w:t>0,00</w:t>
            </w:r>
          </w:p>
        </w:tc>
        <w:tc>
          <w:tcPr>
            <w:tcW w:w="1776" w:type="dxa"/>
            <w:shd w:val="clear" w:color="auto" w:fill="auto"/>
            <w:vAlign w:val="center"/>
          </w:tcPr>
          <w:p w:rsidR="00AB1352" w:rsidRPr="007C658D" w:rsidRDefault="00AB1352" w:rsidP="003B4D7D">
            <w:pPr>
              <w:jc w:val="center"/>
              <w:rPr>
                <w:szCs w:val="20"/>
              </w:rPr>
            </w:pPr>
            <w:r w:rsidRPr="007C658D">
              <w:rPr>
                <w:szCs w:val="20"/>
              </w:rPr>
              <w:t>0,00</w:t>
            </w:r>
          </w:p>
        </w:tc>
      </w:tr>
      <w:tr w:rsidR="00AB1352" w:rsidRPr="00EB3286" w:rsidTr="003B4D7D">
        <w:trPr>
          <w:trHeight w:val="113"/>
          <w:jc w:val="center"/>
        </w:trPr>
        <w:tc>
          <w:tcPr>
            <w:tcW w:w="5993" w:type="dxa"/>
            <w:gridSpan w:val="2"/>
            <w:shd w:val="clear" w:color="auto" w:fill="auto"/>
            <w:vAlign w:val="center"/>
          </w:tcPr>
          <w:p w:rsidR="00AB1352" w:rsidRPr="00EB3286" w:rsidRDefault="00AB1352" w:rsidP="003B4D7D">
            <w:pPr>
              <w:jc w:val="right"/>
              <w:rPr>
                <w:b/>
                <w:szCs w:val="20"/>
              </w:rPr>
            </w:pPr>
            <w:r w:rsidRPr="00EB3286">
              <w:rPr>
                <w:b/>
                <w:szCs w:val="20"/>
              </w:rPr>
              <w:t>SUBTOTAL DE “A”:</w:t>
            </w:r>
          </w:p>
        </w:tc>
        <w:tc>
          <w:tcPr>
            <w:tcW w:w="1416" w:type="dxa"/>
            <w:shd w:val="clear" w:color="auto" w:fill="auto"/>
            <w:vAlign w:val="center"/>
          </w:tcPr>
          <w:p w:rsidR="00AB1352" w:rsidRPr="007C658D" w:rsidRDefault="00AB1352" w:rsidP="003B4D7D">
            <w:pPr>
              <w:jc w:val="center"/>
              <w:rPr>
                <w:b/>
                <w:szCs w:val="20"/>
              </w:rPr>
            </w:pPr>
            <w:r w:rsidRPr="007C658D">
              <w:rPr>
                <w:b/>
                <w:szCs w:val="20"/>
              </w:rPr>
              <w:t>36,80</w:t>
            </w:r>
          </w:p>
        </w:tc>
        <w:tc>
          <w:tcPr>
            <w:tcW w:w="1776" w:type="dxa"/>
            <w:shd w:val="clear" w:color="auto" w:fill="auto"/>
            <w:vAlign w:val="center"/>
          </w:tcPr>
          <w:p w:rsidR="00AB1352" w:rsidRPr="007C658D" w:rsidRDefault="00AB1352" w:rsidP="003B4D7D">
            <w:pPr>
              <w:jc w:val="center"/>
              <w:rPr>
                <w:b/>
                <w:szCs w:val="20"/>
              </w:rPr>
            </w:pPr>
            <w:r w:rsidRPr="007C658D">
              <w:rPr>
                <w:b/>
                <w:szCs w:val="20"/>
              </w:rPr>
              <w:t>36,80</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b/>
                <w:szCs w:val="20"/>
              </w:rPr>
            </w:pPr>
            <w:r w:rsidRPr="00EB3286">
              <w:rPr>
                <w:b/>
                <w:szCs w:val="20"/>
              </w:rPr>
              <w:t>B</w:t>
            </w:r>
          </w:p>
        </w:tc>
        <w:tc>
          <w:tcPr>
            <w:tcW w:w="8541" w:type="dxa"/>
            <w:gridSpan w:val="3"/>
            <w:shd w:val="clear" w:color="auto" w:fill="auto"/>
            <w:vAlign w:val="center"/>
          </w:tcPr>
          <w:p w:rsidR="00AB1352" w:rsidRPr="007B1BCF" w:rsidRDefault="00AB1352" w:rsidP="003B4D7D">
            <w:pPr>
              <w:rPr>
                <w:b/>
                <w:color w:val="FF0000"/>
                <w:szCs w:val="20"/>
              </w:rPr>
            </w:pPr>
            <w:r w:rsidRPr="000D3104">
              <w:rPr>
                <w:b/>
                <w:szCs w:val="20"/>
              </w:rPr>
              <w:t>ENCARGOS SOCIAIS QUE RECEBEM INCIDÊNCIA DE “A”</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B1</w:t>
            </w:r>
          </w:p>
        </w:tc>
        <w:tc>
          <w:tcPr>
            <w:tcW w:w="5349" w:type="dxa"/>
            <w:shd w:val="clear" w:color="auto" w:fill="auto"/>
            <w:vAlign w:val="center"/>
          </w:tcPr>
          <w:p w:rsidR="00AB1352" w:rsidRPr="00EB3286" w:rsidRDefault="00AB1352" w:rsidP="003B4D7D">
            <w:pPr>
              <w:rPr>
                <w:szCs w:val="20"/>
              </w:rPr>
            </w:pPr>
            <w:r w:rsidRPr="00EB3286">
              <w:rPr>
                <w:szCs w:val="20"/>
              </w:rPr>
              <w:t>Repouso Semanal Remunerado</w:t>
            </w:r>
          </w:p>
        </w:tc>
        <w:tc>
          <w:tcPr>
            <w:tcW w:w="1416" w:type="dxa"/>
            <w:shd w:val="clear" w:color="auto" w:fill="auto"/>
            <w:vAlign w:val="center"/>
          </w:tcPr>
          <w:p w:rsidR="00AB1352" w:rsidRPr="000D3104" w:rsidRDefault="00AB1352" w:rsidP="007C658D">
            <w:pPr>
              <w:jc w:val="center"/>
              <w:rPr>
                <w:szCs w:val="20"/>
              </w:rPr>
            </w:pPr>
            <w:r w:rsidRPr="000D3104">
              <w:rPr>
                <w:szCs w:val="20"/>
              </w:rPr>
              <w:t>1</w:t>
            </w:r>
            <w:r w:rsidR="00AE4BC3" w:rsidRPr="000D3104">
              <w:rPr>
                <w:szCs w:val="20"/>
              </w:rPr>
              <w:t>7</w:t>
            </w:r>
            <w:r w:rsidRPr="000D3104">
              <w:rPr>
                <w:szCs w:val="20"/>
              </w:rPr>
              <w:t>,</w:t>
            </w:r>
            <w:r w:rsidR="00AE4BC3" w:rsidRPr="000D3104">
              <w:rPr>
                <w:szCs w:val="20"/>
              </w:rPr>
              <w:t>9</w:t>
            </w:r>
            <w:r w:rsidR="007C658D" w:rsidRPr="000D3104">
              <w:rPr>
                <w:szCs w:val="20"/>
              </w:rPr>
              <w:t>7</w:t>
            </w:r>
          </w:p>
        </w:tc>
        <w:tc>
          <w:tcPr>
            <w:tcW w:w="1776" w:type="dxa"/>
            <w:shd w:val="clear" w:color="auto" w:fill="auto"/>
            <w:vAlign w:val="center"/>
          </w:tcPr>
          <w:p w:rsidR="00AB1352" w:rsidRPr="000D3104" w:rsidRDefault="00AB1352" w:rsidP="003B4D7D">
            <w:pPr>
              <w:jc w:val="center"/>
              <w:rPr>
                <w:szCs w:val="20"/>
              </w:rPr>
            </w:pPr>
            <w:r w:rsidRPr="000D3104">
              <w:rPr>
                <w:szCs w:val="20"/>
              </w:rPr>
              <w:t>Não incide</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B2</w:t>
            </w:r>
          </w:p>
        </w:tc>
        <w:tc>
          <w:tcPr>
            <w:tcW w:w="5349" w:type="dxa"/>
            <w:shd w:val="clear" w:color="auto" w:fill="auto"/>
            <w:vAlign w:val="center"/>
          </w:tcPr>
          <w:p w:rsidR="00AB1352" w:rsidRPr="00EB3286" w:rsidRDefault="00AB1352" w:rsidP="003B4D7D">
            <w:pPr>
              <w:rPr>
                <w:szCs w:val="20"/>
              </w:rPr>
            </w:pPr>
            <w:r w:rsidRPr="00EB3286">
              <w:rPr>
                <w:szCs w:val="20"/>
              </w:rPr>
              <w:t>Feriados</w:t>
            </w:r>
          </w:p>
        </w:tc>
        <w:tc>
          <w:tcPr>
            <w:tcW w:w="1416" w:type="dxa"/>
            <w:shd w:val="clear" w:color="auto" w:fill="auto"/>
            <w:vAlign w:val="center"/>
          </w:tcPr>
          <w:p w:rsidR="00AB1352" w:rsidRPr="000D3104" w:rsidRDefault="00AE4BC3" w:rsidP="00AE4BC3">
            <w:pPr>
              <w:jc w:val="center"/>
              <w:rPr>
                <w:szCs w:val="20"/>
              </w:rPr>
            </w:pPr>
            <w:r w:rsidRPr="000D3104">
              <w:rPr>
                <w:szCs w:val="20"/>
              </w:rPr>
              <w:t>3</w:t>
            </w:r>
            <w:r w:rsidR="00AB1352" w:rsidRPr="000D3104">
              <w:rPr>
                <w:szCs w:val="20"/>
              </w:rPr>
              <w:t>,9</w:t>
            </w:r>
            <w:r w:rsidRPr="000D3104">
              <w:rPr>
                <w:szCs w:val="20"/>
              </w:rPr>
              <w:t>7</w:t>
            </w:r>
          </w:p>
        </w:tc>
        <w:tc>
          <w:tcPr>
            <w:tcW w:w="1776" w:type="dxa"/>
            <w:shd w:val="clear" w:color="auto" w:fill="auto"/>
            <w:vAlign w:val="center"/>
          </w:tcPr>
          <w:p w:rsidR="00AB1352" w:rsidRPr="000D3104" w:rsidRDefault="00AB1352" w:rsidP="003B4D7D">
            <w:pPr>
              <w:jc w:val="center"/>
              <w:rPr>
                <w:szCs w:val="20"/>
              </w:rPr>
            </w:pPr>
            <w:r w:rsidRPr="000D3104">
              <w:rPr>
                <w:szCs w:val="20"/>
              </w:rPr>
              <w:t>Não incide</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B3</w:t>
            </w:r>
          </w:p>
        </w:tc>
        <w:tc>
          <w:tcPr>
            <w:tcW w:w="5349" w:type="dxa"/>
            <w:shd w:val="clear" w:color="auto" w:fill="auto"/>
            <w:vAlign w:val="center"/>
          </w:tcPr>
          <w:p w:rsidR="00AB1352" w:rsidRPr="00EB3286" w:rsidRDefault="00AB1352" w:rsidP="003B4D7D">
            <w:pPr>
              <w:rPr>
                <w:szCs w:val="20"/>
              </w:rPr>
            </w:pPr>
            <w:r w:rsidRPr="00EB3286">
              <w:rPr>
                <w:szCs w:val="20"/>
              </w:rPr>
              <w:t>Auxílio-Enfermidade</w:t>
            </w:r>
          </w:p>
        </w:tc>
        <w:tc>
          <w:tcPr>
            <w:tcW w:w="1416" w:type="dxa"/>
            <w:shd w:val="clear" w:color="auto" w:fill="auto"/>
            <w:vAlign w:val="center"/>
          </w:tcPr>
          <w:p w:rsidR="00AB1352" w:rsidRPr="000D3104" w:rsidRDefault="00AB1352" w:rsidP="007C658D">
            <w:pPr>
              <w:jc w:val="center"/>
              <w:rPr>
                <w:szCs w:val="20"/>
              </w:rPr>
            </w:pPr>
            <w:r w:rsidRPr="000D3104">
              <w:rPr>
                <w:szCs w:val="20"/>
              </w:rPr>
              <w:t>0,</w:t>
            </w:r>
            <w:r w:rsidR="007C658D" w:rsidRPr="000D3104">
              <w:rPr>
                <w:szCs w:val="20"/>
              </w:rPr>
              <w:t>88</w:t>
            </w:r>
          </w:p>
        </w:tc>
        <w:tc>
          <w:tcPr>
            <w:tcW w:w="1776" w:type="dxa"/>
            <w:shd w:val="clear" w:color="auto" w:fill="auto"/>
            <w:vAlign w:val="center"/>
          </w:tcPr>
          <w:p w:rsidR="00AB1352" w:rsidRPr="000D3104" w:rsidRDefault="00AB1352" w:rsidP="007C658D">
            <w:pPr>
              <w:jc w:val="center"/>
              <w:rPr>
                <w:szCs w:val="20"/>
              </w:rPr>
            </w:pPr>
            <w:r w:rsidRPr="000D3104">
              <w:rPr>
                <w:szCs w:val="20"/>
              </w:rPr>
              <w:t>0,</w:t>
            </w:r>
            <w:r w:rsidR="007C658D" w:rsidRPr="000D3104">
              <w:rPr>
                <w:szCs w:val="20"/>
              </w:rPr>
              <w:t>67</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B4</w:t>
            </w:r>
          </w:p>
        </w:tc>
        <w:tc>
          <w:tcPr>
            <w:tcW w:w="5349" w:type="dxa"/>
            <w:shd w:val="clear" w:color="auto" w:fill="auto"/>
            <w:vAlign w:val="center"/>
          </w:tcPr>
          <w:p w:rsidR="00AB1352" w:rsidRPr="00EB3286" w:rsidRDefault="00AB1352" w:rsidP="003B4D7D">
            <w:pPr>
              <w:rPr>
                <w:szCs w:val="20"/>
              </w:rPr>
            </w:pPr>
            <w:r w:rsidRPr="00EB3286">
              <w:rPr>
                <w:szCs w:val="20"/>
              </w:rPr>
              <w:t>13º Salário</w:t>
            </w:r>
          </w:p>
        </w:tc>
        <w:tc>
          <w:tcPr>
            <w:tcW w:w="1416" w:type="dxa"/>
            <w:shd w:val="clear" w:color="auto" w:fill="auto"/>
            <w:vAlign w:val="center"/>
          </w:tcPr>
          <w:p w:rsidR="00AB1352" w:rsidRPr="000D3104" w:rsidRDefault="00AB1352" w:rsidP="007C658D">
            <w:pPr>
              <w:jc w:val="center"/>
              <w:rPr>
                <w:szCs w:val="20"/>
              </w:rPr>
            </w:pPr>
            <w:r w:rsidRPr="000D3104">
              <w:rPr>
                <w:szCs w:val="20"/>
              </w:rPr>
              <w:t>10,9</w:t>
            </w:r>
            <w:r w:rsidR="007C658D" w:rsidRPr="000D3104">
              <w:rPr>
                <w:szCs w:val="20"/>
              </w:rPr>
              <w:t>0</w:t>
            </w:r>
          </w:p>
        </w:tc>
        <w:tc>
          <w:tcPr>
            <w:tcW w:w="1776" w:type="dxa"/>
            <w:shd w:val="clear" w:color="auto" w:fill="auto"/>
            <w:vAlign w:val="center"/>
          </w:tcPr>
          <w:p w:rsidR="00AB1352" w:rsidRPr="000D3104" w:rsidRDefault="00AB1352" w:rsidP="003B4D7D">
            <w:pPr>
              <w:jc w:val="center"/>
              <w:rPr>
                <w:szCs w:val="20"/>
              </w:rPr>
            </w:pPr>
            <w:r w:rsidRPr="000D3104">
              <w:rPr>
                <w:szCs w:val="20"/>
              </w:rPr>
              <w:t>8,33</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B5</w:t>
            </w:r>
          </w:p>
        </w:tc>
        <w:tc>
          <w:tcPr>
            <w:tcW w:w="5349" w:type="dxa"/>
            <w:shd w:val="clear" w:color="auto" w:fill="auto"/>
            <w:vAlign w:val="center"/>
          </w:tcPr>
          <w:p w:rsidR="00AB1352" w:rsidRPr="00EB3286" w:rsidRDefault="00AB1352" w:rsidP="003B4D7D">
            <w:pPr>
              <w:rPr>
                <w:szCs w:val="20"/>
              </w:rPr>
            </w:pPr>
            <w:r w:rsidRPr="00EB3286">
              <w:rPr>
                <w:szCs w:val="20"/>
              </w:rPr>
              <w:t>Licença Paternidade</w:t>
            </w:r>
          </w:p>
        </w:tc>
        <w:tc>
          <w:tcPr>
            <w:tcW w:w="1416" w:type="dxa"/>
            <w:shd w:val="clear" w:color="auto" w:fill="auto"/>
            <w:vAlign w:val="center"/>
          </w:tcPr>
          <w:p w:rsidR="00AB1352" w:rsidRPr="000D3104" w:rsidRDefault="00AB1352" w:rsidP="003B4D7D">
            <w:pPr>
              <w:jc w:val="center"/>
              <w:rPr>
                <w:szCs w:val="20"/>
              </w:rPr>
            </w:pPr>
            <w:r w:rsidRPr="000D3104">
              <w:rPr>
                <w:szCs w:val="20"/>
              </w:rPr>
              <w:t>0,07</w:t>
            </w:r>
          </w:p>
        </w:tc>
        <w:tc>
          <w:tcPr>
            <w:tcW w:w="1776" w:type="dxa"/>
            <w:shd w:val="clear" w:color="auto" w:fill="auto"/>
            <w:vAlign w:val="center"/>
          </w:tcPr>
          <w:p w:rsidR="00AB1352" w:rsidRPr="000D3104" w:rsidRDefault="00AB1352" w:rsidP="00AE4BC3">
            <w:pPr>
              <w:jc w:val="center"/>
              <w:rPr>
                <w:szCs w:val="20"/>
              </w:rPr>
            </w:pPr>
            <w:r w:rsidRPr="000D3104">
              <w:rPr>
                <w:szCs w:val="20"/>
              </w:rPr>
              <w:t>0,0</w:t>
            </w:r>
            <w:r w:rsidR="00AE4BC3" w:rsidRPr="000D3104">
              <w:rPr>
                <w:szCs w:val="20"/>
              </w:rPr>
              <w:t>6</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B6</w:t>
            </w:r>
          </w:p>
        </w:tc>
        <w:tc>
          <w:tcPr>
            <w:tcW w:w="5349" w:type="dxa"/>
            <w:shd w:val="clear" w:color="auto" w:fill="auto"/>
            <w:vAlign w:val="center"/>
          </w:tcPr>
          <w:p w:rsidR="00AB1352" w:rsidRPr="00EB3286" w:rsidRDefault="00AB1352" w:rsidP="003B4D7D">
            <w:pPr>
              <w:rPr>
                <w:szCs w:val="20"/>
              </w:rPr>
            </w:pPr>
            <w:r w:rsidRPr="00EB3286">
              <w:rPr>
                <w:szCs w:val="20"/>
              </w:rPr>
              <w:t>Faltas Justificadas</w:t>
            </w:r>
          </w:p>
        </w:tc>
        <w:tc>
          <w:tcPr>
            <w:tcW w:w="1416" w:type="dxa"/>
            <w:shd w:val="clear" w:color="auto" w:fill="auto"/>
            <w:vAlign w:val="center"/>
          </w:tcPr>
          <w:p w:rsidR="00AB1352" w:rsidRPr="000D3104" w:rsidRDefault="00AB1352" w:rsidP="003B4D7D">
            <w:pPr>
              <w:jc w:val="center"/>
              <w:rPr>
                <w:szCs w:val="20"/>
              </w:rPr>
            </w:pPr>
            <w:r w:rsidRPr="000D3104">
              <w:rPr>
                <w:szCs w:val="20"/>
              </w:rPr>
              <w:t>0,73</w:t>
            </w:r>
          </w:p>
        </w:tc>
        <w:tc>
          <w:tcPr>
            <w:tcW w:w="1776" w:type="dxa"/>
            <w:shd w:val="clear" w:color="auto" w:fill="auto"/>
            <w:vAlign w:val="center"/>
          </w:tcPr>
          <w:p w:rsidR="00AB1352" w:rsidRPr="000D3104" w:rsidRDefault="00AB1352" w:rsidP="003B4D7D">
            <w:pPr>
              <w:jc w:val="center"/>
              <w:rPr>
                <w:szCs w:val="20"/>
              </w:rPr>
            </w:pPr>
            <w:r w:rsidRPr="000D3104">
              <w:rPr>
                <w:szCs w:val="20"/>
              </w:rPr>
              <w:t>0,56</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B7</w:t>
            </w:r>
          </w:p>
        </w:tc>
        <w:tc>
          <w:tcPr>
            <w:tcW w:w="5349" w:type="dxa"/>
            <w:shd w:val="clear" w:color="auto" w:fill="auto"/>
            <w:vAlign w:val="center"/>
          </w:tcPr>
          <w:p w:rsidR="00AB1352" w:rsidRPr="00EB3286" w:rsidRDefault="00AB1352" w:rsidP="003B4D7D">
            <w:pPr>
              <w:rPr>
                <w:szCs w:val="20"/>
              </w:rPr>
            </w:pPr>
            <w:r w:rsidRPr="00EB3286">
              <w:rPr>
                <w:szCs w:val="20"/>
              </w:rPr>
              <w:t>Dias de Chuva</w:t>
            </w:r>
          </w:p>
        </w:tc>
        <w:tc>
          <w:tcPr>
            <w:tcW w:w="1416" w:type="dxa"/>
            <w:shd w:val="clear" w:color="auto" w:fill="auto"/>
            <w:vAlign w:val="center"/>
          </w:tcPr>
          <w:p w:rsidR="00AB1352" w:rsidRPr="000D3104" w:rsidRDefault="00AB1352" w:rsidP="003B4D7D">
            <w:pPr>
              <w:jc w:val="center"/>
              <w:rPr>
                <w:szCs w:val="20"/>
              </w:rPr>
            </w:pPr>
            <w:r w:rsidRPr="000D3104">
              <w:rPr>
                <w:szCs w:val="20"/>
              </w:rPr>
              <w:t>2,0</w:t>
            </w:r>
            <w:r w:rsidR="00AE4BC3" w:rsidRPr="000D3104">
              <w:rPr>
                <w:szCs w:val="20"/>
              </w:rPr>
              <w:t>3</w:t>
            </w:r>
          </w:p>
        </w:tc>
        <w:tc>
          <w:tcPr>
            <w:tcW w:w="1776" w:type="dxa"/>
            <w:shd w:val="clear" w:color="auto" w:fill="auto"/>
            <w:vAlign w:val="center"/>
          </w:tcPr>
          <w:p w:rsidR="00AB1352" w:rsidRPr="000D3104" w:rsidRDefault="00AB1352" w:rsidP="003B4D7D">
            <w:pPr>
              <w:jc w:val="center"/>
              <w:rPr>
                <w:szCs w:val="20"/>
              </w:rPr>
            </w:pPr>
            <w:r w:rsidRPr="000D3104">
              <w:rPr>
                <w:szCs w:val="20"/>
              </w:rPr>
              <w:t>Não incide</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B8</w:t>
            </w:r>
          </w:p>
        </w:tc>
        <w:tc>
          <w:tcPr>
            <w:tcW w:w="5349" w:type="dxa"/>
            <w:shd w:val="clear" w:color="auto" w:fill="auto"/>
            <w:vAlign w:val="center"/>
          </w:tcPr>
          <w:p w:rsidR="00AB1352" w:rsidRPr="00EB3286" w:rsidRDefault="00AB1352" w:rsidP="003B4D7D">
            <w:pPr>
              <w:rPr>
                <w:szCs w:val="20"/>
              </w:rPr>
            </w:pPr>
            <w:r w:rsidRPr="00EB3286">
              <w:rPr>
                <w:szCs w:val="20"/>
              </w:rPr>
              <w:t>Auxílio Acidente de Trabalho</w:t>
            </w:r>
          </w:p>
        </w:tc>
        <w:tc>
          <w:tcPr>
            <w:tcW w:w="1416" w:type="dxa"/>
            <w:shd w:val="clear" w:color="auto" w:fill="auto"/>
            <w:vAlign w:val="center"/>
          </w:tcPr>
          <w:p w:rsidR="00AB1352" w:rsidRPr="000D3104" w:rsidRDefault="00AB1352" w:rsidP="003B4D7D">
            <w:pPr>
              <w:jc w:val="center"/>
              <w:rPr>
                <w:szCs w:val="20"/>
              </w:rPr>
            </w:pPr>
            <w:r w:rsidRPr="000D3104">
              <w:rPr>
                <w:szCs w:val="20"/>
              </w:rPr>
              <w:t>0,11</w:t>
            </w:r>
          </w:p>
        </w:tc>
        <w:tc>
          <w:tcPr>
            <w:tcW w:w="1776" w:type="dxa"/>
            <w:shd w:val="clear" w:color="auto" w:fill="auto"/>
            <w:vAlign w:val="center"/>
          </w:tcPr>
          <w:p w:rsidR="00AB1352" w:rsidRPr="000D3104" w:rsidRDefault="00AB1352" w:rsidP="007C658D">
            <w:pPr>
              <w:jc w:val="center"/>
              <w:rPr>
                <w:szCs w:val="20"/>
              </w:rPr>
            </w:pPr>
            <w:r w:rsidRPr="000D3104">
              <w:rPr>
                <w:szCs w:val="20"/>
              </w:rPr>
              <w:t>0,0</w:t>
            </w:r>
            <w:r w:rsidR="007C658D" w:rsidRPr="000D3104">
              <w:rPr>
                <w:szCs w:val="20"/>
              </w:rPr>
              <w:t>8</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B9</w:t>
            </w:r>
          </w:p>
        </w:tc>
        <w:tc>
          <w:tcPr>
            <w:tcW w:w="5349" w:type="dxa"/>
            <w:shd w:val="clear" w:color="auto" w:fill="auto"/>
            <w:vAlign w:val="center"/>
          </w:tcPr>
          <w:p w:rsidR="00AB1352" w:rsidRPr="00EB3286" w:rsidRDefault="00AB1352" w:rsidP="003B4D7D">
            <w:pPr>
              <w:rPr>
                <w:szCs w:val="20"/>
              </w:rPr>
            </w:pPr>
            <w:r w:rsidRPr="00EB3286">
              <w:rPr>
                <w:szCs w:val="20"/>
              </w:rPr>
              <w:t>Férias Gozadas</w:t>
            </w:r>
          </w:p>
        </w:tc>
        <w:tc>
          <w:tcPr>
            <w:tcW w:w="1416" w:type="dxa"/>
            <w:shd w:val="clear" w:color="auto" w:fill="auto"/>
            <w:vAlign w:val="center"/>
          </w:tcPr>
          <w:p w:rsidR="00AB1352" w:rsidRPr="000D3104" w:rsidRDefault="00AE4BC3" w:rsidP="00AE4BC3">
            <w:pPr>
              <w:jc w:val="center"/>
              <w:rPr>
                <w:szCs w:val="20"/>
              </w:rPr>
            </w:pPr>
            <w:r w:rsidRPr="000D3104">
              <w:rPr>
                <w:szCs w:val="20"/>
              </w:rPr>
              <w:t>9</w:t>
            </w:r>
            <w:r w:rsidR="007C658D" w:rsidRPr="000D3104">
              <w:rPr>
                <w:szCs w:val="20"/>
              </w:rPr>
              <w:t>,2</w:t>
            </w:r>
            <w:r w:rsidRPr="000D3104">
              <w:rPr>
                <w:szCs w:val="20"/>
              </w:rPr>
              <w:t>1</w:t>
            </w:r>
          </w:p>
        </w:tc>
        <w:tc>
          <w:tcPr>
            <w:tcW w:w="1776" w:type="dxa"/>
            <w:shd w:val="clear" w:color="auto" w:fill="auto"/>
            <w:vAlign w:val="center"/>
          </w:tcPr>
          <w:p w:rsidR="00AB1352" w:rsidRPr="000D3104" w:rsidRDefault="00AE4BC3" w:rsidP="007C658D">
            <w:pPr>
              <w:jc w:val="center"/>
              <w:rPr>
                <w:szCs w:val="20"/>
              </w:rPr>
            </w:pPr>
            <w:r w:rsidRPr="000D3104">
              <w:rPr>
                <w:szCs w:val="20"/>
              </w:rPr>
              <w:t>7</w:t>
            </w:r>
            <w:r w:rsidR="00AB1352" w:rsidRPr="000D3104">
              <w:rPr>
                <w:szCs w:val="20"/>
              </w:rPr>
              <w:t>,</w:t>
            </w:r>
            <w:r w:rsidR="007C658D" w:rsidRPr="000D3104">
              <w:rPr>
                <w:szCs w:val="20"/>
              </w:rPr>
              <w:t>04</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B10</w:t>
            </w:r>
          </w:p>
        </w:tc>
        <w:tc>
          <w:tcPr>
            <w:tcW w:w="5349" w:type="dxa"/>
            <w:shd w:val="clear" w:color="auto" w:fill="auto"/>
            <w:vAlign w:val="center"/>
          </w:tcPr>
          <w:p w:rsidR="00AB1352" w:rsidRPr="00EB3286" w:rsidRDefault="00AB1352" w:rsidP="003B4D7D">
            <w:pPr>
              <w:rPr>
                <w:szCs w:val="20"/>
              </w:rPr>
            </w:pPr>
            <w:r w:rsidRPr="00EB3286">
              <w:rPr>
                <w:szCs w:val="20"/>
              </w:rPr>
              <w:t>Salário Maternidade</w:t>
            </w:r>
          </w:p>
        </w:tc>
        <w:tc>
          <w:tcPr>
            <w:tcW w:w="1416" w:type="dxa"/>
            <w:shd w:val="clear" w:color="auto" w:fill="auto"/>
            <w:vAlign w:val="center"/>
          </w:tcPr>
          <w:p w:rsidR="00AB1352" w:rsidRPr="000D3104" w:rsidRDefault="00AB1352" w:rsidP="003B4D7D">
            <w:pPr>
              <w:jc w:val="center"/>
              <w:rPr>
                <w:szCs w:val="20"/>
              </w:rPr>
            </w:pPr>
            <w:r w:rsidRPr="000D3104">
              <w:rPr>
                <w:szCs w:val="20"/>
              </w:rPr>
              <w:t>0,03</w:t>
            </w:r>
          </w:p>
        </w:tc>
        <w:tc>
          <w:tcPr>
            <w:tcW w:w="1776" w:type="dxa"/>
            <w:shd w:val="clear" w:color="auto" w:fill="auto"/>
            <w:vAlign w:val="center"/>
          </w:tcPr>
          <w:p w:rsidR="00AB1352" w:rsidRPr="000D3104" w:rsidRDefault="00AB1352" w:rsidP="007C658D">
            <w:pPr>
              <w:jc w:val="center"/>
              <w:rPr>
                <w:szCs w:val="20"/>
              </w:rPr>
            </w:pPr>
            <w:r w:rsidRPr="000D3104">
              <w:rPr>
                <w:szCs w:val="20"/>
              </w:rPr>
              <w:t>0,0</w:t>
            </w:r>
            <w:r w:rsidR="007C658D" w:rsidRPr="000D3104">
              <w:rPr>
                <w:szCs w:val="20"/>
              </w:rPr>
              <w:t>3</w:t>
            </w:r>
          </w:p>
        </w:tc>
      </w:tr>
      <w:tr w:rsidR="00AB1352" w:rsidRPr="00EB3286" w:rsidTr="003B4D7D">
        <w:trPr>
          <w:trHeight w:val="113"/>
          <w:jc w:val="center"/>
        </w:trPr>
        <w:tc>
          <w:tcPr>
            <w:tcW w:w="5993" w:type="dxa"/>
            <w:gridSpan w:val="2"/>
            <w:shd w:val="clear" w:color="auto" w:fill="auto"/>
            <w:vAlign w:val="center"/>
          </w:tcPr>
          <w:p w:rsidR="00AB1352" w:rsidRPr="00EB3286" w:rsidRDefault="00AB1352" w:rsidP="003B4D7D">
            <w:pPr>
              <w:jc w:val="right"/>
              <w:rPr>
                <w:b/>
                <w:szCs w:val="20"/>
              </w:rPr>
            </w:pPr>
            <w:r w:rsidRPr="00EB3286">
              <w:rPr>
                <w:b/>
                <w:szCs w:val="20"/>
              </w:rPr>
              <w:t>SUBTOTAL DE “B”:</w:t>
            </w:r>
          </w:p>
        </w:tc>
        <w:tc>
          <w:tcPr>
            <w:tcW w:w="1416" w:type="dxa"/>
            <w:shd w:val="clear" w:color="auto" w:fill="auto"/>
            <w:vAlign w:val="center"/>
          </w:tcPr>
          <w:p w:rsidR="00AB1352" w:rsidRPr="000D3104" w:rsidRDefault="00AB1352" w:rsidP="007C658D">
            <w:pPr>
              <w:jc w:val="center"/>
              <w:rPr>
                <w:b/>
                <w:szCs w:val="20"/>
              </w:rPr>
            </w:pPr>
            <w:r w:rsidRPr="000D3104">
              <w:rPr>
                <w:b/>
                <w:szCs w:val="20"/>
              </w:rPr>
              <w:t>4</w:t>
            </w:r>
            <w:r w:rsidR="007C658D" w:rsidRPr="000D3104">
              <w:rPr>
                <w:b/>
                <w:szCs w:val="20"/>
              </w:rPr>
              <w:t>5</w:t>
            </w:r>
            <w:r w:rsidRPr="000D3104">
              <w:rPr>
                <w:b/>
                <w:szCs w:val="20"/>
              </w:rPr>
              <w:t>,</w:t>
            </w:r>
            <w:r w:rsidR="007C658D" w:rsidRPr="000D3104">
              <w:rPr>
                <w:b/>
                <w:szCs w:val="20"/>
              </w:rPr>
              <w:t>9</w:t>
            </w:r>
            <w:r w:rsidR="00AE4BC3" w:rsidRPr="000D3104">
              <w:rPr>
                <w:b/>
                <w:szCs w:val="20"/>
              </w:rPr>
              <w:t>0</w:t>
            </w:r>
          </w:p>
        </w:tc>
        <w:tc>
          <w:tcPr>
            <w:tcW w:w="1776" w:type="dxa"/>
            <w:shd w:val="clear" w:color="auto" w:fill="auto"/>
            <w:vAlign w:val="center"/>
          </w:tcPr>
          <w:p w:rsidR="00AB1352" w:rsidRPr="000D3104" w:rsidRDefault="00AB1352" w:rsidP="007C658D">
            <w:pPr>
              <w:jc w:val="center"/>
              <w:rPr>
                <w:b/>
                <w:szCs w:val="20"/>
              </w:rPr>
            </w:pPr>
            <w:r w:rsidRPr="000D3104">
              <w:rPr>
                <w:b/>
                <w:szCs w:val="20"/>
              </w:rPr>
              <w:t>1</w:t>
            </w:r>
            <w:r w:rsidR="007C658D" w:rsidRPr="000D3104">
              <w:rPr>
                <w:b/>
                <w:szCs w:val="20"/>
              </w:rPr>
              <w:t>6,7</w:t>
            </w:r>
            <w:r w:rsidR="00AE4BC3" w:rsidRPr="000D3104">
              <w:rPr>
                <w:b/>
                <w:szCs w:val="20"/>
              </w:rPr>
              <w:t>7</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b/>
                <w:szCs w:val="20"/>
              </w:rPr>
            </w:pPr>
            <w:r w:rsidRPr="00EB3286">
              <w:rPr>
                <w:b/>
                <w:szCs w:val="20"/>
              </w:rPr>
              <w:t>C</w:t>
            </w:r>
          </w:p>
        </w:tc>
        <w:tc>
          <w:tcPr>
            <w:tcW w:w="8541" w:type="dxa"/>
            <w:gridSpan w:val="3"/>
            <w:shd w:val="clear" w:color="auto" w:fill="auto"/>
            <w:vAlign w:val="center"/>
          </w:tcPr>
          <w:p w:rsidR="00AB1352" w:rsidRPr="00416012" w:rsidRDefault="00AB1352" w:rsidP="003B4D7D">
            <w:pPr>
              <w:rPr>
                <w:b/>
                <w:szCs w:val="20"/>
              </w:rPr>
            </w:pPr>
            <w:r w:rsidRPr="00416012">
              <w:rPr>
                <w:b/>
                <w:szCs w:val="20"/>
              </w:rPr>
              <w:t>ENCARGOS SOCIAIS QUE NÃO RECEBEM INCIDÊNCIA DE “A”</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C1</w:t>
            </w:r>
          </w:p>
        </w:tc>
        <w:tc>
          <w:tcPr>
            <w:tcW w:w="5349" w:type="dxa"/>
            <w:shd w:val="clear" w:color="auto" w:fill="auto"/>
            <w:vAlign w:val="center"/>
          </w:tcPr>
          <w:p w:rsidR="00AB1352" w:rsidRPr="00EB3286" w:rsidRDefault="00AB1352" w:rsidP="003B4D7D">
            <w:pPr>
              <w:rPr>
                <w:szCs w:val="20"/>
              </w:rPr>
            </w:pPr>
            <w:r w:rsidRPr="00EB3286">
              <w:rPr>
                <w:szCs w:val="20"/>
              </w:rPr>
              <w:t>Aviso Prévio Indenizado</w:t>
            </w:r>
          </w:p>
        </w:tc>
        <w:tc>
          <w:tcPr>
            <w:tcW w:w="1416" w:type="dxa"/>
            <w:shd w:val="clear" w:color="auto" w:fill="auto"/>
            <w:vAlign w:val="center"/>
          </w:tcPr>
          <w:p w:rsidR="00AB1352" w:rsidRPr="00C4349C" w:rsidRDefault="00FE4CAA" w:rsidP="00FE4CAA">
            <w:pPr>
              <w:jc w:val="center"/>
              <w:rPr>
                <w:szCs w:val="20"/>
              </w:rPr>
            </w:pPr>
            <w:r w:rsidRPr="00C4349C">
              <w:rPr>
                <w:szCs w:val="20"/>
              </w:rPr>
              <w:t>5</w:t>
            </w:r>
            <w:r w:rsidR="00AB1352" w:rsidRPr="00C4349C">
              <w:rPr>
                <w:szCs w:val="20"/>
              </w:rPr>
              <w:t>,</w:t>
            </w:r>
            <w:r w:rsidRPr="00C4349C">
              <w:rPr>
                <w:szCs w:val="20"/>
              </w:rPr>
              <w:t>40</w:t>
            </w:r>
          </w:p>
        </w:tc>
        <w:tc>
          <w:tcPr>
            <w:tcW w:w="1776" w:type="dxa"/>
            <w:shd w:val="clear" w:color="auto" w:fill="auto"/>
            <w:vAlign w:val="center"/>
          </w:tcPr>
          <w:p w:rsidR="00AB1352" w:rsidRPr="00C4349C" w:rsidRDefault="00AE4BC3" w:rsidP="00416012">
            <w:pPr>
              <w:jc w:val="center"/>
              <w:rPr>
                <w:szCs w:val="20"/>
              </w:rPr>
            </w:pPr>
            <w:r w:rsidRPr="00C4349C">
              <w:rPr>
                <w:szCs w:val="20"/>
              </w:rPr>
              <w:t>4</w:t>
            </w:r>
            <w:r w:rsidR="00AB1352" w:rsidRPr="00C4349C">
              <w:rPr>
                <w:szCs w:val="20"/>
              </w:rPr>
              <w:t>,</w:t>
            </w:r>
            <w:r w:rsidR="00416012" w:rsidRPr="00C4349C">
              <w:rPr>
                <w:szCs w:val="20"/>
              </w:rPr>
              <w:t>13</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C2</w:t>
            </w:r>
          </w:p>
        </w:tc>
        <w:tc>
          <w:tcPr>
            <w:tcW w:w="5349" w:type="dxa"/>
            <w:shd w:val="clear" w:color="auto" w:fill="auto"/>
            <w:vAlign w:val="center"/>
          </w:tcPr>
          <w:p w:rsidR="00AB1352" w:rsidRPr="00EB3286" w:rsidRDefault="00AB1352" w:rsidP="003B4D7D">
            <w:pPr>
              <w:rPr>
                <w:szCs w:val="20"/>
              </w:rPr>
            </w:pPr>
            <w:r w:rsidRPr="00EB3286">
              <w:rPr>
                <w:szCs w:val="20"/>
              </w:rPr>
              <w:t>Aviso Prévio Trabalhado</w:t>
            </w:r>
          </w:p>
        </w:tc>
        <w:tc>
          <w:tcPr>
            <w:tcW w:w="1416" w:type="dxa"/>
            <w:shd w:val="clear" w:color="auto" w:fill="auto"/>
            <w:vAlign w:val="center"/>
          </w:tcPr>
          <w:p w:rsidR="00AB1352" w:rsidRPr="00C4349C" w:rsidRDefault="00AB1352" w:rsidP="00FE4CAA">
            <w:pPr>
              <w:jc w:val="center"/>
              <w:rPr>
                <w:szCs w:val="20"/>
              </w:rPr>
            </w:pPr>
            <w:r w:rsidRPr="00C4349C">
              <w:rPr>
                <w:szCs w:val="20"/>
              </w:rPr>
              <w:t>0,1</w:t>
            </w:r>
            <w:r w:rsidR="00FE4CAA" w:rsidRPr="00C4349C">
              <w:rPr>
                <w:szCs w:val="20"/>
              </w:rPr>
              <w:t>3</w:t>
            </w:r>
          </w:p>
        </w:tc>
        <w:tc>
          <w:tcPr>
            <w:tcW w:w="1776" w:type="dxa"/>
            <w:shd w:val="clear" w:color="auto" w:fill="auto"/>
            <w:vAlign w:val="center"/>
          </w:tcPr>
          <w:p w:rsidR="00AB1352" w:rsidRPr="00C4349C" w:rsidRDefault="00AB1352" w:rsidP="00416012">
            <w:pPr>
              <w:jc w:val="center"/>
              <w:rPr>
                <w:szCs w:val="20"/>
              </w:rPr>
            </w:pPr>
            <w:r w:rsidRPr="00C4349C">
              <w:rPr>
                <w:szCs w:val="20"/>
              </w:rPr>
              <w:t>0,</w:t>
            </w:r>
            <w:r w:rsidR="00AE4BC3" w:rsidRPr="00C4349C">
              <w:rPr>
                <w:szCs w:val="20"/>
              </w:rPr>
              <w:t>1</w:t>
            </w:r>
            <w:r w:rsidR="00416012" w:rsidRPr="00C4349C">
              <w:rPr>
                <w:szCs w:val="20"/>
              </w:rPr>
              <w:t>0</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C3</w:t>
            </w:r>
          </w:p>
        </w:tc>
        <w:tc>
          <w:tcPr>
            <w:tcW w:w="5349" w:type="dxa"/>
            <w:shd w:val="clear" w:color="auto" w:fill="auto"/>
            <w:vAlign w:val="center"/>
          </w:tcPr>
          <w:p w:rsidR="00AB1352" w:rsidRPr="00EB3286" w:rsidRDefault="00AB1352" w:rsidP="003B4D7D">
            <w:pPr>
              <w:rPr>
                <w:szCs w:val="20"/>
              </w:rPr>
            </w:pPr>
            <w:r w:rsidRPr="00EB3286">
              <w:rPr>
                <w:szCs w:val="20"/>
              </w:rPr>
              <w:t>Férias Indenizadas</w:t>
            </w:r>
          </w:p>
        </w:tc>
        <w:tc>
          <w:tcPr>
            <w:tcW w:w="1416" w:type="dxa"/>
            <w:shd w:val="clear" w:color="auto" w:fill="auto"/>
            <w:vAlign w:val="center"/>
          </w:tcPr>
          <w:p w:rsidR="00AB1352" w:rsidRPr="00C4349C" w:rsidRDefault="00AB1352" w:rsidP="00FE4CAA">
            <w:pPr>
              <w:jc w:val="center"/>
              <w:rPr>
                <w:szCs w:val="20"/>
              </w:rPr>
            </w:pPr>
            <w:r w:rsidRPr="00C4349C">
              <w:rPr>
                <w:szCs w:val="20"/>
              </w:rPr>
              <w:t>4,</w:t>
            </w:r>
            <w:r w:rsidR="00FE4CAA" w:rsidRPr="00C4349C">
              <w:rPr>
                <w:szCs w:val="20"/>
              </w:rPr>
              <w:t>25</w:t>
            </w:r>
          </w:p>
        </w:tc>
        <w:tc>
          <w:tcPr>
            <w:tcW w:w="1776" w:type="dxa"/>
            <w:shd w:val="clear" w:color="auto" w:fill="auto"/>
            <w:vAlign w:val="center"/>
          </w:tcPr>
          <w:p w:rsidR="00AB1352" w:rsidRPr="00C4349C" w:rsidRDefault="00AB1352" w:rsidP="00416012">
            <w:pPr>
              <w:jc w:val="center"/>
              <w:rPr>
                <w:szCs w:val="20"/>
              </w:rPr>
            </w:pPr>
            <w:r w:rsidRPr="00C4349C">
              <w:rPr>
                <w:szCs w:val="20"/>
              </w:rPr>
              <w:t>3,</w:t>
            </w:r>
            <w:r w:rsidR="00416012" w:rsidRPr="00C4349C">
              <w:rPr>
                <w:szCs w:val="20"/>
              </w:rPr>
              <w:t>25</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C4</w:t>
            </w:r>
          </w:p>
        </w:tc>
        <w:tc>
          <w:tcPr>
            <w:tcW w:w="5349" w:type="dxa"/>
            <w:shd w:val="clear" w:color="auto" w:fill="auto"/>
            <w:vAlign w:val="center"/>
          </w:tcPr>
          <w:p w:rsidR="00AB1352" w:rsidRPr="00EB3286" w:rsidRDefault="00AB1352" w:rsidP="003B4D7D">
            <w:pPr>
              <w:rPr>
                <w:szCs w:val="20"/>
              </w:rPr>
            </w:pPr>
            <w:r w:rsidRPr="00EB3286">
              <w:rPr>
                <w:szCs w:val="20"/>
              </w:rPr>
              <w:t>Depósito Rescisão Sem Justa Causa</w:t>
            </w:r>
          </w:p>
        </w:tc>
        <w:tc>
          <w:tcPr>
            <w:tcW w:w="1416" w:type="dxa"/>
            <w:shd w:val="clear" w:color="auto" w:fill="auto"/>
            <w:vAlign w:val="center"/>
          </w:tcPr>
          <w:p w:rsidR="00AB1352" w:rsidRPr="00C4349C" w:rsidRDefault="00FE4CAA" w:rsidP="00FE4CAA">
            <w:pPr>
              <w:jc w:val="center"/>
              <w:rPr>
                <w:szCs w:val="20"/>
              </w:rPr>
            </w:pPr>
            <w:r w:rsidRPr="00C4349C">
              <w:rPr>
                <w:szCs w:val="20"/>
              </w:rPr>
              <w:t>3</w:t>
            </w:r>
            <w:r w:rsidR="00AB1352" w:rsidRPr="00C4349C">
              <w:rPr>
                <w:szCs w:val="20"/>
              </w:rPr>
              <w:t>,</w:t>
            </w:r>
            <w:r w:rsidRPr="00C4349C">
              <w:rPr>
                <w:szCs w:val="20"/>
              </w:rPr>
              <w:t>72</w:t>
            </w:r>
          </w:p>
        </w:tc>
        <w:tc>
          <w:tcPr>
            <w:tcW w:w="1776" w:type="dxa"/>
            <w:shd w:val="clear" w:color="auto" w:fill="auto"/>
            <w:vAlign w:val="center"/>
          </w:tcPr>
          <w:p w:rsidR="00AB1352" w:rsidRPr="00C4349C" w:rsidRDefault="00416012" w:rsidP="00416012">
            <w:pPr>
              <w:jc w:val="center"/>
              <w:rPr>
                <w:szCs w:val="20"/>
              </w:rPr>
            </w:pPr>
            <w:r w:rsidRPr="00C4349C">
              <w:rPr>
                <w:szCs w:val="20"/>
              </w:rPr>
              <w:t>2</w:t>
            </w:r>
            <w:r w:rsidR="00AB1352" w:rsidRPr="00C4349C">
              <w:rPr>
                <w:szCs w:val="20"/>
              </w:rPr>
              <w:t>,</w:t>
            </w:r>
            <w:r w:rsidR="00135AF0" w:rsidRPr="00C4349C">
              <w:rPr>
                <w:szCs w:val="20"/>
              </w:rPr>
              <w:t>8</w:t>
            </w:r>
            <w:r w:rsidRPr="00C4349C">
              <w:rPr>
                <w:szCs w:val="20"/>
              </w:rPr>
              <w:t>5</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C5</w:t>
            </w:r>
          </w:p>
        </w:tc>
        <w:tc>
          <w:tcPr>
            <w:tcW w:w="5349" w:type="dxa"/>
            <w:shd w:val="clear" w:color="auto" w:fill="auto"/>
            <w:vAlign w:val="center"/>
          </w:tcPr>
          <w:p w:rsidR="00AB1352" w:rsidRPr="00EB3286" w:rsidRDefault="00AB1352" w:rsidP="003B4D7D">
            <w:pPr>
              <w:rPr>
                <w:szCs w:val="20"/>
              </w:rPr>
            </w:pPr>
            <w:r w:rsidRPr="00EB3286">
              <w:rPr>
                <w:szCs w:val="20"/>
              </w:rPr>
              <w:t>Indenização Adicional</w:t>
            </w:r>
          </w:p>
        </w:tc>
        <w:tc>
          <w:tcPr>
            <w:tcW w:w="1416" w:type="dxa"/>
            <w:shd w:val="clear" w:color="auto" w:fill="auto"/>
            <w:vAlign w:val="center"/>
          </w:tcPr>
          <w:p w:rsidR="00AB1352" w:rsidRPr="00C4349C" w:rsidRDefault="00AB1352" w:rsidP="00FE4CAA">
            <w:pPr>
              <w:jc w:val="center"/>
              <w:rPr>
                <w:szCs w:val="20"/>
              </w:rPr>
            </w:pPr>
            <w:r w:rsidRPr="00C4349C">
              <w:rPr>
                <w:szCs w:val="20"/>
              </w:rPr>
              <w:t>0,</w:t>
            </w:r>
            <w:r w:rsidR="00FE4CAA" w:rsidRPr="00C4349C">
              <w:rPr>
                <w:szCs w:val="20"/>
              </w:rPr>
              <w:t>45</w:t>
            </w:r>
          </w:p>
        </w:tc>
        <w:tc>
          <w:tcPr>
            <w:tcW w:w="1776" w:type="dxa"/>
            <w:shd w:val="clear" w:color="auto" w:fill="auto"/>
            <w:vAlign w:val="center"/>
          </w:tcPr>
          <w:p w:rsidR="00AB1352" w:rsidRPr="00C4349C" w:rsidRDefault="00AE4BC3" w:rsidP="00416012">
            <w:pPr>
              <w:jc w:val="center"/>
              <w:rPr>
                <w:szCs w:val="20"/>
              </w:rPr>
            </w:pPr>
            <w:r w:rsidRPr="00C4349C">
              <w:rPr>
                <w:szCs w:val="20"/>
              </w:rPr>
              <w:t>0</w:t>
            </w:r>
            <w:r w:rsidR="00AB1352" w:rsidRPr="00C4349C">
              <w:rPr>
                <w:szCs w:val="20"/>
              </w:rPr>
              <w:t>,</w:t>
            </w:r>
            <w:r w:rsidRPr="00C4349C">
              <w:rPr>
                <w:szCs w:val="20"/>
              </w:rPr>
              <w:t>3</w:t>
            </w:r>
            <w:r w:rsidR="00416012" w:rsidRPr="00C4349C">
              <w:rPr>
                <w:szCs w:val="20"/>
              </w:rPr>
              <w:t>5</w:t>
            </w:r>
          </w:p>
        </w:tc>
      </w:tr>
      <w:tr w:rsidR="00AB1352" w:rsidRPr="00EB3286" w:rsidTr="003B4D7D">
        <w:trPr>
          <w:trHeight w:val="113"/>
          <w:jc w:val="center"/>
        </w:trPr>
        <w:tc>
          <w:tcPr>
            <w:tcW w:w="5993" w:type="dxa"/>
            <w:gridSpan w:val="2"/>
            <w:shd w:val="clear" w:color="auto" w:fill="auto"/>
            <w:vAlign w:val="center"/>
          </w:tcPr>
          <w:p w:rsidR="00AB1352" w:rsidRPr="00EB3286" w:rsidRDefault="00AB1352" w:rsidP="003B4D7D">
            <w:pPr>
              <w:jc w:val="right"/>
              <w:rPr>
                <w:b/>
                <w:szCs w:val="20"/>
              </w:rPr>
            </w:pPr>
            <w:r w:rsidRPr="00EB3286">
              <w:rPr>
                <w:b/>
                <w:szCs w:val="20"/>
              </w:rPr>
              <w:t>SUBTOTAL DE “C”:</w:t>
            </w:r>
          </w:p>
        </w:tc>
        <w:tc>
          <w:tcPr>
            <w:tcW w:w="1416" w:type="dxa"/>
            <w:shd w:val="clear" w:color="auto" w:fill="auto"/>
            <w:vAlign w:val="center"/>
          </w:tcPr>
          <w:p w:rsidR="00AB1352" w:rsidRPr="00C4349C" w:rsidRDefault="00AB1352" w:rsidP="00FE4CAA">
            <w:pPr>
              <w:jc w:val="center"/>
              <w:rPr>
                <w:b/>
                <w:szCs w:val="20"/>
              </w:rPr>
            </w:pPr>
            <w:r w:rsidRPr="00C4349C">
              <w:rPr>
                <w:b/>
                <w:szCs w:val="20"/>
              </w:rPr>
              <w:t>1</w:t>
            </w:r>
            <w:r w:rsidR="00FE4CAA" w:rsidRPr="00C4349C">
              <w:rPr>
                <w:b/>
                <w:szCs w:val="20"/>
              </w:rPr>
              <w:t>3</w:t>
            </w:r>
            <w:r w:rsidRPr="00C4349C">
              <w:rPr>
                <w:b/>
                <w:szCs w:val="20"/>
              </w:rPr>
              <w:t>,</w:t>
            </w:r>
            <w:r w:rsidR="006556E2" w:rsidRPr="00C4349C">
              <w:rPr>
                <w:b/>
                <w:szCs w:val="20"/>
              </w:rPr>
              <w:t>9</w:t>
            </w:r>
            <w:r w:rsidR="00FE4CAA" w:rsidRPr="00C4349C">
              <w:rPr>
                <w:b/>
                <w:szCs w:val="20"/>
              </w:rPr>
              <w:t>5</w:t>
            </w:r>
          </w:p>
        </w:tc>
        <w:tc>
          <w:tcPr>
            <w:tcW w:w="1776" w:type="dxa"/>
            <w:shd w:val="clear" w:color="auto" w:fill="auto"/>
            <w:vAlign w:val="center"/>
          </w:tcPr>
          <w:p w:rsidR="00AB1352" w:rsidRPr="00C4349C" w:rsidRDefault="00AB1352" w:rsidP="00416012">
            <w:pPr>
              <w:jc w:val="center"/>
              <w:rPr>
                <w:b/>
                <w:szCs w:val="20"/>
              </w:rPr>
            </w:pPr>
            <w:r w:rsidRPr="00C4349C">
              <w:rPr>
                <w:b/>
                <w:szCs w:val="20"/>
              </w:rPr>
              <w:t>1</w:t>
            </w:r>
            <w:r w:rsidR="00416012" w:rsidRPr="00C4349C">
              <w:rPr>
                <w:b/>
                <w:szCs w:val="20"/>
              </w:rPr>
              <w:t>0</w:t>
            </w:r>
            <w:r w:rsidRPr="00C4349C">
              <w:rPr>
                <w:b/>
                <w:szCs w:val="20"/>
              </w:rPr>
              <w:t>,</w:t>
            </w:r>
            <w:r w:rsidR="00416012" w:rsidRPr="00C4349C">
              <w:rPr>
                <w:b/>
                <w:szCs w:val="20"/>
              </w:rPr>
              <w:t>68</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b/>
                <w:szCs w:val="20"/>
              </w:rPr>
            </w:pPr>
            <w:r w:rsidRPr="00EB3286">
              <w:rPr>
                <w:b/>
                <w:szCs w:val="20"/>
              </w:rPr>
              <w:t>D</w:t>
            </w:r>
          </w:p>
        </w:tc>
        <w:tc>
          <w:tcPr>
            <w:tcW w:w="8541" w:type="dxa"/>
            <w:gridSpan w:val="3"/>
            <w:shd w:val="clear" w:color="auto" w:fill="auto"/>
            <w:vAlign w:val="center"/>
          </w:tcPr>
          <w:p w:rsidR="00AB1352" w:rsidRPr="007B1BCF" w:rsidRDefault="00AB1352" w:rsidP="003B4D7D">
            <w:pPr>
              <w:rPr>
                <w:b/>
                <w:color w:val="FF0000"/>
                <w:szCs w:val="20"/>
              </w:rPr>
            </w:pPr>
            <w:r w:rsidRPr="00FA5EA1">
              <w:rPr>
                <w:b/>
                <w:szCs w:val="20"/>
              </w:rPr>
              <w:t>REINCIDÊNCIAS DE UM GRUPO SOBRE O OUTRO</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D1</w:t>
            </w:r>
          </w:p>
        </w:tc>
        <w:tc>
          <w:tcPr>
            <w:tcW w:w="5349" w:type="dxa"/>
            <w:shd w:val="clear" w:color="auto" w:fill="auto"/>
            <w:vAlign w:val="center"/>
          </w:tcPr>
          <w:p w:rsidR="00AB1352" w:rsidRPr="00EB3286" w:rsidRDefault="00AB1352" w:rsidP="003B4D7D">
            <w:pPr>
              <w:rPr>
                <w:szCs w:val="20"/>
              </w:rPr>
            </w:pPr>
            <w:r w:rsidRPr="00EB3286">
              <w:rPr>
                <w:szCs w:val="20"/>
              </w:rPr>
              <w:t>Reincidência de “A” sobre “B”</w:t>
            </w:r>
          </w:p>
        </w:tc>
        <w:tc>
          <w:tcPr>
            <w:tcW w:w="1416" w:type="dxa"/>
            <w:shd w:val="clear" w:color="auto" w:fill="auto"/>
            <w:vAlign w:val="center"/>
          </w:tcPr>
          <w:p w:rsidR="00AB1352" w:rsidRPr="00FA5EA1" w:rsidRDefault="00AB1352" w:rsidP="00FA5EA1">
            <w:pPr>
              <w:jc w:val="center"/>
              <w:rPr>
                <w:szCs w:val="20"/>
              </w:rPr>
            </w:pPr>
            <w:r w:rsidRPr="00FA5EA1">
              <w:rPr>
                <w:szCs w:val="20"/>
              </w:rPr>
              <w:t>1</w:t>
            </w:r>
            <w:r w:rsidR="00FA5EA1" w:rsidRPr="00FA5EA1">
              <w:rPr>
                <w:szCs w:val="20"/>
              </w:rPr>
              <w:t>6</w:t>
            </w:r>
            <w:r w:rsidRPr="00FA5EA1">
              <w:rPr>
                <w:szCs w:val="20"/>
              </w:rPr>
              <w:t>,</w:t>
            </w:r>
            <w:r w:rsidR="00FA5EA1" w:rsidRPr="00FA5EA1">
              <w:rPr>
                <w:szCs w:val="20"/>
              </w:rPr>
              <w:t>89</w:t>
            </w:r>
          </w:p>
        </w:tc>
        <w:tc>
          <w:tcPr>
            <w:tcW w:w="1776" w:type="dxa"/>
            <w:shd w:val="clear" w:color="auto" w:fill="auto"/>
            <w:vAlign w:val="center"/>
          </w:tcPr>
          <w:p w:rsidR="00AB1352" w:rsidRPr="00FA5EA1" w:rsidRDefault="00AB1352" w:rsidP="00FA5EA1">
            <w:pPr>
              <w:jc w:val="center"/>
              <w:rPr>
                <w:szCs w:val="20"/>
              </w:rPr>
            </w:pPr>
            <w:r w:rsidRPr="00FA5EA1">
              <w:rPr>
                <w:szCs w:val="20"/>
              </w:rPr>
              <w:t>6,</w:t>
            </w:r>
            <w:r w:rsidR="00FA5EA1" w:rsidRPr="00FA5EA1">
              <w:rPr>
                <w:szCs w:val="20"/>
              </w:rPr>
              <w:t>17</w:t>
            </w:r>
          </w:p>
        </w:tc>
      </w:tr>
      <w:tr w:rsidR="00AB1352" w:rsidRPr="00EB3286" w:rsidTr="003B4D7D">
        <w:trPr>
          <w:trHeight w:val="113"/>
          <w:jc w:val="center"/>
        </w:trPr>
        <w:tc>
          <w:tcPr>
            <w:tcW w:w="644" w:type="dxa"/>
            <w:shd w:val="clear" w:color="auto" w:fill="auto"/>
            <w:vAlign w:val="center"/>
          </w:tcPr>
          <w:p w:rsidR="00AB1352" w:rsidRPr="00EB3286" w:rsidRDefault="00AB1352" w:rsidP="003B4D7D">
            <w:pPr>
              <w:jc w:val="center"/>
              <w:rPr>
                <w:szCs w:val="20"/>
              </w:rPr>
            </w:pPr>
            <w:r w:rsidRPr="00EB3286">
              <w:rPr>
                <w:szCs w:val="20"/>
              </w:rPr>
              <w:t>D2</w:t>
            </w:r>
          </w:p>
        </w:tc>
        <w:tc>
          <w:tcPr>
            <w:tcW w:w="5349" w:type="dxa"/>
            <w:shd w:val="clear" w:color="auto" w:fill="auto"/>
            <w:vAlign w:val="center"/>
          </w:tcPr>
          <w:p w:rsidR="00AB1352" w:rsidRPr="00EB3286" w:rsidRDefault="00AB1352" w:rsidP="003B4D7D">
            <w:pPr>
              <w:rPr>
                <w:szCs w:val="20"/>
              </w:rPr>
            </w:pPr>
            <w:r w:rsidRPr="00EB3286">
              <w:rPr>
                <w:szCs w:val="20"/>
              </w:rPr>
              <w:t>Reincidência de Grupo A sobre Aviso Prévio Trabalhado e Reincidência do FGTS sobre Aviso Prévio Indenizado</w:t>
            </w:r>
          </w:p>
        </w:tc>
        <w:tc>
          <w:tcPr>
            <w:tcW w:w="1416" w:type="dxa"/>
            <w:shd w:val="clear" w:color="auto" w:fill="auto"/>
            <w:vAlign w:val="center"/>
          </w:tcPr>
          <w:p w:rsidR="00AB1352" w:rsidRPr="00FA5EA1" w:rsidRDefault="00AB1352" w:rsidP="00FA5EA1">
            <w:pPr>
              <w:jc w:val="center"/>
              <w:rPr>
                <w:szCs w:val="20"/>
              </w:rPr>
            </w:pPr>
            <w:r w:rsidRPr="00FA5EA1">
              <w:rPr>
                <w:szCs w:val="20"/>
              </w:rPr>
              <w:t>0,</w:t>
            </w:r>
            <w:r w:rsidR="00FA5EA1" w:rsidRPr="00FA5EA1">
              <w:rPr>
                <w:szCs w:val="20"/>
              </w:rPr>
              <w:t>48</w:t>
            </w:r>
          </w:p>
        </w:tc>
        <w:tc>
          <w:tcPr>
            <w:tcW w:w="1776" w:type="dxa"/>
            <w:shd w:val="clear" w:color="auto" w:fill="auto"/>
            <w:vAlign w:val="center"/>
          </w:tcPr>
          <w:p w:rsidR="00AB1352" w:rsidRPr="00FA5EA1" w:rsidRDefault="00AB1352" w:rsidP="00FA5EA1">
            <w:pPr>
              <w:jc w:val="center"/>
              <w:rPr>
                <w:szCs w:val="20"/>
              </w:rPr>
            </w:pPr>
            <w:r w:rsidRPr="00FA5EA1">
              <w:rPr>
                <w:szCs w:val="20"/>
              </w:rPr>
              <w:t>0,</w:t>
            </w:r>
            <w:r w:rsidR="00FA5EA1" w:rsidRPr="00FA5EA1">
              <w:rPr>
                <w:szCs w:val="20"/>
              </w:rPr>
              <w:t>37</w:t>
            </w:r>
          </w:p>
        </w:tc>
      </w:tr>
      <w:tr w:rsidR="00AB1352" w:rsidRPr="00EB3286" w:rsidTr="003B4D7D">
        <w:trPr>
          <w:trHeight w:val="113"/>
          <w:jc w:val="center"/>
        </w:trPr>
        <w:tc>
          <w:tcPr>
            <w:tcW w:w="5993" w:type="dxa"/>
            <w:gridSpan w:val="2"/>
            <w:shd w:val="clear" w:color="auto" w:fill="auto"/>
            <w:vAlign w:val="center"/>
          </w:tcPr>
          <w:p w:rsidR="00AB1352" w:rsidRPr="00EB3286" w:rsidRDefault="00AB1352" w:rsidP="003B4D7D">
            <w:pPr>
              <w:jc w:val="right"/>
              <w:rPr>
                <w:b/>
                <w:szCs w:val="20"/>
              </w:rPr>
            </w:pPr>
            <w:r w:rsidRPr="00EB3286">
              <w:rPr>
                <w:b/>
                <w:szCs w:val="20"/>
              </w:rPr>
              <w:t>SUBTOTAL DE “D”:</w:t>
            </w:r>
          </w:p>
        </w:tc>
        <w:tc>
          <w:tcPr>
            <w:tcW w:w="1416" w:type="dxa"/>
            <w:shd w:val="clear" w:color="auto" w:fill="auto"/>
            <w:vAlign w:val="center"/>
          </w:tcPr>
          <w:p w:rsidR="00AB1352" w:rsidRPr="00FA5EA1" w:rsidRDefault="00AB1352" w:rsidP="00FA5EA1">
            <w:pPr>
              <w:jc w:val="center"/>
              <w:rPr>
                <w:b/>
                <w:szCs w:val="20"/>
              </w:rPr>
            </w:pPr>
            <w:r w:rsidRPr="00FA5EA1">
              <w:rPr>
                <w:b/>
                <w:szCs w:val="20"/>
              </w:rPr>
              <w:t>17,</w:t>
            </w:r>
            <w:r w:rsidR="00FA5EA1" w:rsidRPr="00FA5EA1">
              <w:rPr>
                <w:b/>
                <w:szCs w:val="20"/>
              </w:rPr>
              <w:t>37</w:t>
            </w:r>
          </w:p>
        </w:tc>
        <w:tc>
          <w:tcPr>
            <w:tcW w:w="1776" w:type="dxa"/>
            <w:shd w:val="clear" w:color="auto" w:fill="auto"/>
            <w:vAlign w:val="center"/>
          </w:tcPr>
          <w:p w:rsidR="00AB1352" w:rsidRPr="00FA5EA1" w:rsidRDefault="00AB1352" w:rsidP="00FA5EA1">
            <w:pPr>
              <w:jc w:val="center"/>
              <w:rPr>
                <w:b/>
                <w:szCs w:val="20"/>
              </w:rPr>
            </w:pPr>
            <w:r w:rsidRPr="00FA5EA1">
              <w:rPr>
                <w:b/>
                <w:szCs w:val="20"/>
              </w:rPr>
              <w:t>6,</w:t>
            </w:r>
            <w:r w:rsidR="00FA5EA1" w:rsidRPr="00FA5EA1">
              <w:rPr>
                <w:b/>
                <w:szCs w:val="20"/>
              </w:rPr>
              <w:t>54</w:t>
            </w:r>
          </w:p>
        </w:tc>
      </w:tr>
      <w:tr w:rsidR="00AB1352" w:rsidRPr="00EB3286" w:rsidTr="003B4D7D">
        <w:trPr>
          <w:trHeight w:val="113"/>
          <w:jc w:val="center"/>
        </w:trPr>
        <w:tc>
          <w:tcPr>
            <w:tcW w:w="5993" w:type="dxa"/>
            <w:gridSpan w:val="2"/>
            <w:shd w:val="clear" w:color="auto" w:fill="auto"/>
            <w:vAlign w:val="center"/>
          </w:tcPr>
          <w:p w:rsidR="00AB1352" w:rsidRPr="00EB3286" w:rsidRDefault="00AB1352" w:rsidP="003B4D7D">
            <w:pPr>
              <w:jc w:val="right"/>
              <w:rPr>
                <w:b/>
                <w:szCs w:val="20"/>
              </w:rPr>
            </w:pPr>
            <w:r w:rsidRPr="00EB3286">
              <w:rPr>
                <w:b/>
                <w:szCs w:val="20"/>
              </w:rPr>
              <w:t>TOTAIS DE ENCARGOS SOCIAIS:</w:t>
            </w:r>
          </w:p>
        </w:tc>
        <w:tc>
          <w:tcPr>
            <w:tcW w:w="1416" w:type="dxa"/>
            <w:shd w:val="clear" w:color="auto" w:fill="auto"/>
            <w:vAlign w:val="center"/>
          </w:tcPr>
          <w:p w:rsidR="00AB1352" w:rsidRPr="00491518" w:rsidRDefault="00AB1352" w:rsidP="00491518">
            <w:pPr>
              <w:jc w:val="center"/>
              <w:rPr>
                <w:b/>
                <w:szCs w:val="20"/>
              </w:rPr>
            </w:pPr>
            <w:r w:rsidRPr="00491518">
              <w:rPr>
                <w:b/>
                <w:szCs w:val="20"/>
              </w:rPr>
              <w:t>11</w:t>
            </w:r>
            <w:r w:rsidR="00491518" w:rsidRPr="00491518">
              <w:rPr>
                <w:b/>
                <w:szCs w:val="20"/>
              </w:rPr>
              <w:t>4</w:t>
            </w:r>
            <w:r w:rsidRPr="00491518">
              <w:rPr>
                <w:b/>
                <w:szCs w:val="20"/>
              </w:rPr>
              <w:t>,</w:t>
            </w:r>
            <w:r w:rsidR="00491518" w:rsidRPr="00491518">
              <w:rPr>
                <w:b/>
                <w:szCs w:val="20"/>
              </w:rPr>
              <w:t>02</w:t>
            </w:r>
          </w:p>
        </w:tc>
        <w:tc>
          <w:tcPr>
            <w:tcW w:w="1776" w:type="dxa"/>
            <w:shd w:val="clear" w:color="auto" w:fill="auto"/>
            <w:vAlign w:val="center"/>
          </w:tcPr>
          <w:p w:rsidR="00AB1352" w:rsidRPr="00491518" w:rsidRDefault="00AB1352" w:rsidP="00491518">
            <w:pPr>
              <w:jc w:val="center"/>
              <w:rPr>
                <w:b/>
                <w:szCs w:val="20"/>
              </w:rPr>
            </w:pPr>
            <w:r w:rsidRPr="00491518">
              <w:rPr>
                <w:b/>
                <w:szCs w:val="20"/>
              </w:rPr>
              <w:t>7</w:t>
            </w:r>
            <w:r w:rsidR="00491518" w:rsidRPr="00491518">
              <w:rPr>
                <w:b/>
                <w:szCs w:val="20"/>
              </w:rPr>
              <w:t>0</w:t>
            </w:r>
            <w:r w:rsidRPr="00491518">
              <w:rPr>
                <w:b/>
                <w:szCs w:val="20"/>
              </w:rPr>
              <w:t>,</w:t>
            </w:r>
            <w:r w:rsidR="00491518" w:rsidRPr="00491518">
              <w:rPr>
                <w:b/>
                <w:szCs w:val="20"/>
              </w:rPr>
              <w:t>79</w:t>
            </w:r>
          </w:p>
        </w:tc>
      </w:tr>
    </w:tbl>
    <w:p w:rsidR="00AB1352" w:rsidRDefault="00AB1352" w:rsidP="00AB1352">
      <w:pPr>
        <w:rPr>
          <w:szCs w:val="20"/>
        </w:rPr>
      </w:pPr>
    </w:p>
    <w:p w:rsidR="00797B58" w:rsidRDefault="00AB1352" w:rsidP="00AB1352">
      <w:pPr>
        <w:rPr>
          <w:szCs w:val="20"/>
        </w:rPr>
      </w:pPr>
      <w:r w:rsidRPr="00EB3286">
        <w:rPr>
          <w:szCs w:val="20"/>
        </w:rPr>
        <w:br w:type="page"/>
      </w:r>
    </w:p>
    <w:p w:rsidR="003B3366" w:rsidRDefault="003B3366" w:rsidP="00797B58">
      <w:pPr>
        <w:jc w:val="center"/>
        <w:rPr>
          <w:szCs w:val="20"/>
        </w:rPr>
      </w:pPr>
    </w:p>
    <w:p w:rsidR="00797B58" w:rsidRPr="00EB3286" w:rsidRDefault="000A7092" w:rsidP="00797B58">
      <w:pPr>
        <w:jc w:val="center"/>
        <w:rPr>
          <w:b/>
          <w:szCs w:val="20"/>
          <w:lang w:eastAsia="pt-BR"/>
        </w:rPr>
      </w:pPr>
      <w:r w:rsidRPr="00EB3286">
        <w:rPr>
          <w:b/>
          <w:szCs w:val="20"/>
          <w:lang w:eastAsia="pt-BR"/>
        </w:rPr>
        <w:t xml:space="preserve">PO-XV – </w:t>
      </w:r>
      <w:r w:rsidRPr="00EB3286">
        <w:rPr>
          <w:b/>
          <w:szCs w:val="20"/>
        </w:rPr>
        <w:t>Detalhamento</w:t>
      </w:r>
      <w:r w:rsidRPr="00EB3286">
        <w:rPr>
          <w:b/>
          <w:szCs w:val="20"/>
          <w:lang w:eastAsia="pt-BR"/>
        </w:rPr>
        <w:t xml:space="preserve"> do BDI– </w:t>
      </w:r>
      <w:r w:rsidR="004F613D">
        <w:rPr>
          <w:b/>
          <w:szCs w:val="20"/>
          <w:lang w:eastAsia="pt-BR"/>
        </w:rPr>
        <w:t>Sem</w:t>
      </w:r>
      <w:r w:rsidRPr="00EB3286">
        <w:rPr>
          <w:b/>
          <w:szCs w:val="20"/>
          <w:lang w:eastAsia="pt-BR"/>
        </w:rPr>
        <w:t xml:space="preserve"> Desoneração</w:t>
      </w:r>
    </w:p>
    <w:p w:rsidR="00797B58" w:rsidRPr="00EB3286" w:rsidRDefault="00797B58" w:rsidP="00797B58">
      <w:pPr>
        <w:rPr>
          <w:szCs w:val="20"/>
          <w:lang w:eastAsia="pt-BR"/>
        </w:rPr>
      </w:pPr>
    </w:p>
    <w:tbl>
      <w:tblPr>
        <w:tblpPr w:leftFromText="141" w:rightFromText="141" w:vertAnchor="page" w:horzAnchor="margin" w:tblpXSpec="center" w:tblpY="3344"/>
        <w:tblW w:w="9851" w:type="dxa"/>
        <w:tblLayout w:type="fixed"/>
        <w:tblCellMar>
          <w:left w:w="70" w:type="dxa"/>
          <w:right w:w="70" w:type="dxa"/>
        </w:tblCellMar>
        <w:tblLook w:val="04A0"/>
      </w:tblPr>
      <w:tblGrid>
        <w:gridCol w:w="779"/>
        <w:gridCol w:w="3788"/>
        <w:gridCol w:w="1032"/>
        <w:gridCol w:w="425"/>
        <w:gridCol w:w="1134"/>
        <w:gridCol w:w="960"/>
        <w:gridCol w:w="1020"/>
        <w:gridCol w:w="713"/>
      </w:tblGrid>
      <w:tr w:rsidR="00E27B5E" w:rsidRPr="000A4D81" w:rsidTr="00E27B5E">
        <w:trPr>
          <w:trHeight w:val="70"/>
        </w:trPr>
        <w:tc>
          <w:tcPr>
            <w:tcW w:w="779" w:type="dxa"/>
            <w:tcBorders>
              <w:top w:val="nil"/>
              <w:left w:val="nil"/>
              <w:bottom w:val="nil"/>
              <w:right w:val="nil"/>
            </w:tcBorders>
            <w:shd w:val="clear" w:color="auto" w:fill="auto"/>
            <w:hideMark/>
          </w:tcPr>
          <w:p w:rsidR="00E27B5E" w:rsidRPr="000A4D81" w:rsidRDefault="00E27B5E" w:rsidP="00E27B5E">
            <w:pPr>
              <w:jc w:val="left"/>
              <w:rPr>
                <w:rFonts w:eastAsia="Times New Roman"/>
                <w:b/>
                <w:bCs/>
                <w:szCs w:val="20"/>
                <w:lang w:eastAsia="pt-BR"/>
              </w:rPr>
            </w:pPr>
          </w:p>
        </w:tc>
        <w:tc>
          <w:tcPr>
            <w:tcW w:w="3788" w:type="dxa"/>
            <w:tcBorders>
              <w:top w:val="nil"/>
              <w:left w:val="nil"/>
              <w:bottom w:val="nil"/>
              <w:right w:val="nil"/>
            </w:tcBorders>
            <w:shd w:val="clear" w:color="auto" w:fill="auto"/>
            <w:hideMark/>
          </w:tcPr>
          <w:p w:rsidR="00E27B5E" w:rsidRPr="000A4D81" w:rsidRDefault="00E27B5E" w:rsidP="00E27B5E">
            <w:pPr>
              <w:jc w:val="center"/>
              <w:rPr>
                <w:rFonts w:ascii="Arial Narrow" w:eastAsia="Times New Roman" w:hAnsi="Arial Narrow"/>
                <w:b/>
                <w:bCs/>
                <w:color w:val="000000"/>
                <w:sz w:val="22"/>
                <w:lang w:eastAsia="pt-BR"/>
              </w:rPr>
            </w:pPr>
          </w:p>
        </w:tc>
        <w:tc>
          <w:tcPr>
            <w:tcW w:w="1032" w:type="dxa"/>
            <w:tcBorders>
              <w:top w:val="nil"/>
              <w:left w:val="nil"/>
              <w:bottom w:val="nil"/>
              <w:right w:val="nil"/>
            </w:tcBorders>
            <w:shd w:val="clear" w:color="auto" w:fill="auto"/>
            <w:hideMark/>
          </w:tcPr>
          <w:p w:rsidR="00E27B5E" w:rsidRPr="000A4D81" w:rsidRDefault="00E27B5E" w:rsidP="00E27B5E">
            <w:pPr>
              <w:jc w:val="center"/>
              <w:rPr>
                <w:rFonts w:ascii="Arial Narrow" w:eastAsia="Times New Roman" w:hAnsi="Arial Narrow"/>
                <w:b/>
                <w:bCs/>
                <w:color w:val="000000"/>
                <w:sz w:val="22"/>
                <w:lang w:eastAsia="pt-BR"/>
              </w:rPr>
            </w:pPr>
          </w:p>
        </w:tc>
        <w:tc>
          <w:tcPr>
            <w:tcW w:w="425" w:type="dxa"/>
            <w:tcBorders>
              <w:top w:val="nil"/>
              <w:left w:val="nil"/>
              <w:bottom w:val="nil"/>
              <w:right w:val="nil"/>
            </w:tcBorders>
            <w:shd w:val="clear" w:color="auto" w:fill="auto"/>
            <w:hideMark/>
          </w:tcPr>
          <w:p w:rsidR="00E27B5E" w:rsidRPr="000A4D81" w:rsidRDefault="00E27B5E" w:rsidP="00E27B5E">
            <w:pPr>
              <w:jc w:val="center"/>
              <w:rPr>
                <w:rFonts w:ascii="Arial Narrow" w:eastAsia="Times New Roman" w:hAnsi="Arial Narrow"/>
                <w:b/>
                <w:bCs/>
                <w:color w:val="000000"/>
                <w:sz w:val="22"/>
                <w:lang w:eastAsia="pt-BR"/>
              </w:rPr>
            </w:pPr>
          </w:p>
        </w:tc>
        <w:tc>
          <w:tcPr>
            <w:tcW w:w="1134" w:type="dxa"/>
            <w:tcBorders>
              <w:top w:val="nil"/>
              <w:left w:val="nil"/>
              <w:bottom w:val="nil"/>
              <w:right w:val="nil"/>
            </w:tcBorders>
            <w:shd w:val="clear" w:color="auto" w:fill="auto"/>
            <w:hideMark/>
          </w:tcPr>
          <w:p w:rsidR="00E27B5E" w:rsidRPr="000A4D81" w:rsidRDefault="00E27B5E" w:rsidP="00E27B5E">
            <w:pPr>
              <w:jc w:val="center"/>
              <w:rPr>
                <w:rFonts w:ascii="Arial Narrow" w:eastAsia="Times New Roman" w:hAnsi="Arial Narrow"/>
                <w:b/>
                <w:bCs/>
                <w:color w:val="000000"/>
                <w:sz w:val="22"/>
                <w:lang w:eastAsia="pt-BR"/>
              </w:rPr>
            </w:pPr>
          </w:p>
        </w:tc>
        <w:tc>
          <w:tcPr>
            <w:tcW w:w="960" w:type="dxa"/>
            <w:tcBorders>
              <w:top w:val="nil"/>
              <w:left w:val="nil"/>
              <w:bottom w:val="nil"/>
              <w:right w:val="nil"/>
            </w:tcBorders>
            <w:shd w:val="clear" w:color="auto" w:fill="auto"/>
            <w:hideMark/>
          </w:tcPr>
          <w:p w:rsidR="00E27B5E" w:rsidRPr="000A4D81" w:rsidRDefault="00E27B5E" w:rsidP="00E27B5E">
            <w:pPr>
              <w:jc w:val="center"/>
              <w:rPr>
                <w:rFonts w:ascii="Arial Narrow" w:eastAsia="Times New Roman" w:hAnsi="Arial Narrow"/>
                <w:b/>
                <w:bCs/>
                <w:color w:val="000000"/>
                <w:sz w:val="22"/>
                <w:lang w:eastAsia="pt-BR"/>
              </w:rPr>
            </w:pPr>
          </w:p>
        </w:tc>
        <w:tc>
          <w:tcPr>
            <w:tcW w:w="1020" w:type="dxa"/>
            <w:tcBorders>
              <w:top w:val="nil"/>
              <w:left w:val="nil"/>
              <w:bottom w:val="nil"/>
              <w:right w:val="nil"/>
            </w:tcBorders>
            <w:shd w:val="clear" w:color="auto" w:fill="auto"/>
            <w:noWrap/>
            <w:vAlign w:val="bottom"/>
            <w:hideMark/>
          </w:tcPr>
          <w:p w:rsidR="00E27B5E" w:rsidRPr="000A4D81" w:rsidRDefault="00E27B5E" w:rsidP="00E27B5E">
            <w:pPr>
              <w:jc w:val="left"/>
              <w:rPr>
                <w:rFonts w:eastAsia="Times New Roman"/>
                <w:szCs w:val="20"/>
                <w:lang w:eastAsia="pt-BR"/>
              </w:rPr>
            </w:pPr>
          </w:p>
        </w:tc>
        <w:tc>
          <w:tcPr>
            <w:tcW w:w="713" w:type="dxa"/>
            <w:tcBorders>
              <w:top w:val="nil"/>
              <w:left w:val="nil"/>
              <w:bottom w:val="nil"/>
              <w:right w:val="nil"/>
            </w:tcBorders>
            <w:shd w:val="clear" w:color="auto" w:fill="auto"/>
            <w:noWrap/>
            <w:vAlign w:val="bottom"/>
            <w:hideMark/>
          </w:tcPr>
          <w:p w:rsidR="00E27B5E" w:rsidRPr="000A4D81" w:rsidRDefault="00E27B5E" w:rsidP="00E27B5E">
            <w:pPr>
              <w:jc w:val="left"/>
              <w:rPr>
                <w:rFonts w:eastAsia="Times New Roman"/>
                <w:szCs w:val="20"/>
                <w:lang w:eastAsia="pt-BR"/>
              </w:rPr>
            </w:pPr>
          </w:p>
        </w:tc>
      </w:tr>
      <w:tr w:rsidR="00E27B5E" w:rsidRPr="000A4D81" w:rsidTr="00E27B5E">
        <w:trPr>
          <w:trHeight w:val="360"/>
        </w:trPr>
        <w:tc>
          <w:tcPr>
            <w:tcW w:w="9851" w:type="dxa"/>
            <w:gridSpan w:val="8"/>
            <w:tcBorders>
              <w:top w:val="single" w:sz="8" w:space="0" w:color="auto"/>
              <w:left w:val="single" w:sz="8" w:space="0" w:color="auto"/>
              <w:bottom w:val="nil"/>
              <w:right w:val="single" w:sz="8" w:space="0" w:color="000000"/>
            </w:tcBorders>
            <w:shd w:val="clear" w:color="auto" w:fill="auto"/>
            <w:noWrap/>
            <w:vAlign w:val="center"/>
            <w:hideMark/>
          </w:tcPr>
          <w:p w:rsidR="00E27B5E" w:rsidRPr="000A4D81" w:rsidRDefault="00E27B5E" w:rsidP="00E27B5E">
            <w:pPr>
              <w:jc w:val="center"/>
              <w:rPr>
                <w:rFonts w:eastAsia="Times New Roman"/>
                <w:b/>
                <w:bCs/>
                <w:sz w:val="28"/>
                <w:szCs w:val="28"/>
                <w:lang w:eastAsia="pt-BR"/>
              </w:rPr>
            </w:pPr>
            <w:r w:rsidRPr="000A4D81">
              <w:rPr>
                <w:rFonts w:eastAsia="Times New Roman"/>
                <w:b/>
                <w:bCs/>
                <w:sz w:val="28"/>
                <w:szCs w:val="28"/>
                <w:lang w:eastAsia="pt-BR"/>
              </w:rPr>
              <w:t>PLANILHA DE DETALHAMENTO DO BDI - SEM DESONERAÇÃO</w:t>
            </w:r>
          </w:p>
        </w:tc>
      </w:tr>
      <w:tr w:rsidR="00E27B5E" w:rsidRPr="000A4D81" w:rsidTr="00E27B5E">
        <w:trPr>
          <w:trHeight w:val="360"/>
        </w:trPr>
        <w:tc>
          <w:tcPr>
            <w:tcW w:w="9851" w:type="dxa"/>
            <w:gridSpan w:val="8"/>
            <w:tcBorders>
              <w:top w:val="nil"/>
              <w:left w:val="single" w:sz="8" w:space="0" w:color="auto"/>
              <w:bottom w:val="nil"/>
              <w:right w:val="single" w:sz="8" w:space="0" w:color="000000"/>
            </w:tcBorders>
            <w:shd w:val="clear" w:color="auto" w:fill="auto"/>
            <w:noWrap/>
            <w:vAlign w:val="center"/>
            <w:hideMark/>
          </w:tcPr>
          <w:p w:rsidR="00E27B5E" w:rsidRDefault="00E27B5E" w:rsidP="00E27B5E">
            <w:pPr>
              <w:jc w:val="center"/>
              <w:rPr>
                <w:rFonts w:eastAsia="Times New Roman"/>
                <w:b/>
                <w:bCs/>
                <w:sz w:val="28"/>
                <w:szCs w:val="28"/>
                <w:lang w:eastAsia="pt-BR"/>
              </w:rPr>
            </w:pPr>
            <w:r w:rsidRPr="000A4D81">
              <w:rPr>
                <w:rFonts w:eastAsia="Times New Roman"/>
                <w:b/>
                <w:bCs/>
                <w:sz w:val="28"/>
                <w:szCs w:val="28"/>
                <w:lang w:eastAsia="pt-BR"/>
              </w:rPr>
              <w:t xml:space="preserve">ANEXO </w:t>
            </w:r>
            <w:r w:rsidR="00D458BF">
              <w:rPr>
                <w:rFonts w:eastAsia="Times New Roman"/>
                <w:b/>
                <w:bCs/>
                <w:sz w:val="28"/>
                <w:szCs w:val="28"/>
                <w:lang w:eastAsia="pt-BR"/>
              </w:rPr>
              <w:t>I</w:t>
            </w:r>
            <w:r w:rsidRPr="000A4D81">
              <w:rPr>
                <w:rFonts w:eastAsia="Times New Roman"/>
                <w:b/>
                <w:bCs/>
                <w:sz w:val="28"/>
                <w:szCs w:val="28"/>
                <w:lang w:eastAsia="pt-BR"/>
              </w:rPr>
              <w:t>II</w:t>
            </w:r>
          </w:p>
          <w:p w:rsidR="00E27B5E" w:rsidRPr="000A4D81" w:rsidRDefault="00E27B5E" w:rsidP="00E27B5E">
            <w:pPr>
              <w:jc w:val="center"/>
              <w:rPr>
                <w:rFonts w:eastAsia="Times New Roman"/>
                <w:b/>
                <w:bCs/>
                <w:sz w:val="28"/>
                <w:szCs w:val="28"/>
                <w:lang w:eastAsia="pt-BR"/>
              </w:rPr>
            </w:pPr>
          </w:p>
        </w:tc>
      </w:tr>
      <w:tr w:rsidR="00E27B5E" w:rsidRPr="000A4D81" w:rsidTr="00E27B5E">
        <w:trPr>
          <w:trHeight w:val="1035"/>
        </w:trPr>
        <w:tc>
          <w:tcPr>
            <w:tcW w:w="9851" w:type="dxa"/>
            <w:gridSpan w:val="8"/>
            <w:tcBorders>
              <w:top w:val="nil"/>
              <w:left w:val="single" w:sz="8" w:space="0" w:color="auto"/>
              <w:bottom w:val="nil"/>
              <w:right w:val="single" w:sz="8" w:space="0" w:color="000000"/>
            </w:tcBorders>
            <w:shd w:val="clear" w:color="auto" w:fill="auto"/>
            <w:vAlign w:val="center"/>
            <w:hideMark/>
          </w:tcPr>
          <w:p w:rsidR="00E27B5E" w:rsidRPr="000A4D81" w:rsidRDefault="00E27B5E" w:rsidP="00BD3974">
            <w:pPr>
              <w:jc w:val="center"/>
              <w:rPr>
                <w:rFonts w:eastAsia="Times New Roman"/>
                <w:sz w:val="24"/>
                <w:lang w:eastAsia="pt-BR"/>
              </w:rPr>
            </w:pPr>
            <w:r w:rsidRPr="000A4D81">
              <w:rPr>
                <w:rFonts w:eastAsia="Times New Roman"/>
                <w:sz w:val="24"/>
                <w:lang w:eastAsia="pt-BR"/>
              </w:rPr>
              <w:t>Perfuração e Instal</w:t>
            </w:r>
            <w:r w:rsidR="00BD3974">
              <w:rPr>
                <w:rFonts w:eastAsia="Times New Roman"/>
                <w:sz w:val="24"/>
                <w:lang w:eastAsia="pt-BR"/>
              </w:rPr>
              <w:t>ação de poços tubulares em</w:t>
            </w:r>
            <w:r w:rsidRPr="000A4D81">
              <w:rPr>
                <w:rFonts w:eastAsia="Times New Roman"/>
                <w:sz w:val="24"/>
                <w:lang w:eastAsia="pt-BR"/>
              </w:rPr>
              <w:t xml:space="preserve"> rochas calcárias, rochas metas</w:t>
            </w:r>
            <w:r w:rsidR="005B0B09">
              <w:rPr>
                <w:rFonts w:eastAsia="Times New Roman"/>
                <w:sz w:val="24"/>
                <w:lang w:eastAsia="pt-BR"/>
              </w:rPr>
              <w:t>s</w:t>
            </w:r>
            <w:r w:rsidRPr="000A4D81">
              <w:rPr>
                <w:rFonts w:eastAsia="Times New Roman"/>
                <w:sz w:val="24"/>
                <w:lang w:eastAsia="pt-BR"/>
              </w:rPr>
              <w:t xml:space="preserve">edimentares, rochas cristalinas e rochas sedimentares, </w:t>
            </w:r>
            <w:r w:rsidR="00BD3974">
              <w:rPr>
                <w:rFonts w:eastAsia="Times New Roman"/>
                <w:sz w:val="24"/>
                <w:lang w:eastAsia="pt-BR"/>
              </w:rPr>
              <w:t xml:space="preserve">em áreas </w:t>
            </w:r>
            <w:r w:rsidRPr="000A4D81">
              <w:rPr>
                <w:rFonts w:eastAsia="Times New Roman"/>
                <w:sz w:val="24"/>
                <w:lang w:eastAsia="pt-BR"/>
              </w:rPr>
              <w:t xml:space="preserve">localizadas em municípios diversos do Estado da Bahia, na área de atuação da 2ª SR da </w:t>
            </w:r>
            <w:proofErr w:type="spellStart"/>
            <w:r w:rsidRPr="000A4D81">
              <w:rPr>
                <w:rFonts w:eastAsia="Times New Roman"/>
                <w:sz w:val="24"/>
                <w:lang w:eastAsia="pt-BR"/>
              </w:rPr>
              <w:t>Codevasf</w:t>
            </w:r>
            <w:proofErr w:type="spellEnd"/>
            <w:r w:rsidRPr="000A4D81">
              <w:rPr>
                <w:rFonts w:eastAsia="Times New Roman"/>
                <w:sz w:val="24"/>
                <w:lang w:eastAsia="pt-BR"/>
              </w:rPr>
              <w:t>, em Bom Jesus da Lapa/BA.</w:t>
            </w:r>
          </w:p>
        </w:tc>
      </w:tr>
      <w:tr w:rsidR="00E27B5E" w:rsidRPr="000A4D81" w:rsidTr="00E27B5E">
        <w:trPr>
          <w:trHeight w:val="315"/>
        </w:trPr>
        <w:tc>
          <w:tcPr>
            <w:tcW w:w="9851" w:type="dxa"/>
            <w:gridSpan w:val="8"/>
            <w:tcBorders>
              <w:top w:val="nil"/>
              <w:left w:val="single" w:sz="8" w:space="0" w:color="auto"/>
              <w:bottom w:val="single" w:sz="8" w:space="0" w:color="auto"/>
              <w:right w:val="single" w:sz="8" w:space="0" w:color="000000"/>
            </w:tcBorders>
            <w:shd w:val="clear" w:color="auto" w:fill="auto"/>
            <w:vAlign w:val="center"/>
            <w:hideMark/>
          </w:tcPr>
          <w:p w:rsidR="00E27B5E" w:rsidRPr="000A4D81" w:rsidRDefault="00E27B5E" w:rsidP="00E27B5E">
            <w:pPr>
              <w:jc w:val="left"/>
              <w:rPr>
                <w:rFonts w:eastAsia="Times New Roman"/>
                <w:sz w:val="24"/>
                <w:lang w:eastAsia="pt-BR"/>
              </w:rPr>
            </w:pPr>
          </w:p>
        </w:tc>
      </w:tr>
      <w:tr w:rsidR="00E27B5E" w:rsidRPr="000A4D81" w:rsidTr="00E27B5E">
        <w:trPr>
          <w:trHeight w:val="315"/>
        </w:trPr>
        <w:tc>
          <w:tcPr>
            <w:tcW w:w="9851" w:type="dxa"/>
            <w:gridSpan w:val="8"/>
            <w:tcBorders>
              <w:top w:val="single" w:sz="8" w:space="0" w:color="auto"/>
              <w:left w:val="single" w:sz="8" w:space="0" w:color="auto"/>
              <w:bottom w:val="single" w:sz="8" w:space="0" w:color="auto"/>
              <w:right w:val="single" w:sz="8" w:space="0" w:color="000000"/>
            </w:tcBorders>
            <w:shd w:val="clear" w:color="000000" w:fill="D7E4BC"/>
            <w:noWrap/>
            <w:vAlign w:val="center"/>
            <w:hideMark/>
          </w:tcPr>
          <w:p w:rsidR="00E27B5E" w:rsidRPr="000A4D81" w:rsidRDefault="00E27B5E" w:rsidP="00E27B5E">
            <w:pPr>
              <w:jc w:val="center"/>
              <w:rPr>
                <w:rFonts w:eastAsia="Times New Roman"/>
                <w:b/>
                <w:bCs/>
                <w:sz w:val="22"/>
                <w:lang w:eastAsia="pt-BR"/>
              </w:rPr>
            </w:pPr>
            <w:r w:rsidRPr="000A4D81">
              <w:rPr>
                <w:rFonts w:eastAsia="Times New Roman"/>
                <w:b/>
                <w:bCs/>
                <w:sz w:val="22"/>
                <w:szCs w:val="22"/>
                <w:lang w:eastAsia="pt-BR"/>
              </w:rPr>
              <w:t>MEMÓRIA DE CALCULO DO BDI</w:t>
            </w:r>
            <w:proofErr w:type="gramStart"/>
            <w:r w:rsidRPr="000A4D81">
              <w:rPr>
                <w:rFonts w:eastAsia="Times New Roman"/>
                <w:b/>
                <w:bCs/>
                <w:sz w:val="22"/>
                <w:szCs w:val="22"/>
                <w:lang w:eastAsia="pt-BR"/>
              </w:rPr>
              <w:t xml:space="preserve">  </w:t>
            </w:r>
            <w:proofErr w:type="gramEnd"/>
            <w:r w:rsidRPr="000A4D81">
              <w:rPr>
                <w:rFonts w:eastAsia="Times New Roman"/>
                <w:b/>
                <w:bCs/>
                <w:sz w:val="22"/>
                <w:szCs w:val="22"/>
                <w:lang w:eastAsia="pt-BR"/>
              </w:rPr>
              <w:t>APLICADO</w:t>
            </w:r>
          </w:p>
        </w:tc>
      </w:tr>
      <w:tr w:rsidR="00E27B5E" w:rsidRPr="000A4D81" w:rsidTr="00E27B5E">
        <w:trPr>
          <w:trHeight w:val="315"/>
        </w:trPr>
        <w:tc>
          <w:tcPr>
            <w:tcW w:w="779" w:type="dxa"/>
            <w:tcBorders>
              <w:top w:val="nil"/>
              <w:left w:val="single" w:sz="8" w:space="0" w:color="auto"/>
              <w:bottom w:val="nil"/>
              <w:right w:val="nil"/>
            </w:tcBorders>
            <w:shd w:val="clear" w:color="000000" w:fill="FFFFFF"/>
            <w:noWrap/>
            <w:vAlign w:val="center"/>
            <w:hideMark/>
          </w:tcPr>
          <w:p w:rsidR="00E27B5E" w:rsidRPr="000A4D81" w:rsidRDefault="00E27B5E" w:rsidP="00E27B5E">
            <w:pPr>
              <w:jc w:val="center"/>
              <w:rPr>
                <w:rFonts w:eastAsia="Times New Roman"/>
                <w:b/>
                <w:bCs/>
                <w:color w:val="FFFFFF"/>
                <w:sz w:val="22"/>
                <w:lang w:eastAsia="pt-BR"/>
              </w:rPr>
            </w:pPr>
            <w:r w:rsidRPr="000A4D81">
              <w:rPr>
                <w:rFonts w:eastAsia="Times New Roman"/>
                <w:b/>
                <w:bCs/>
                <w:color w:val="FFFFFF"/>
                <w:sz w:val="22"/>
                <w:szCs w:val="22"/>
                <w:lang w:eastAsia="pt-BR"/>
              </w:rPr>
              <w:t> </w:t>
            </w:r>
          </w:p>
        </w:tc>
        <w:tc>
          <w:tcPr>
            <w:tcW w:w="3788" w:type="dxa"/>
            <w:tcBorders>
              <w:top w:val="nil"/>
              <w:left w:val="nil"/>
              <w:bottom w:val="nil"/>
              <w:right w:val="nil"/>
            </w:tcBorders>
            <w:shd w:val="clear" w:color="000000" w:fill="FFFFFF"/>
            <w:noWrap/>
            <w:vAlign w:val="center"/>
            <w:hideMark/>
          </w:tcPr>
          <w:p w:rsidR="00E27B5E" w:rsidRPr="000A4D81" w:rsidRDefault="00E27B5E" w:rsidP="00E27B5E">
            <w:pPr>
              <w:jc w:val="center"/>
              <w:rPr>
                <w:rFonts w:eastAsia="Times New Roman"/>
                <w:b/>
                <w:bCs/>
                <w:color w:val="FFFFFF"/>
                <w:sz w:val="22"/>
                <w:lang w:eastAsia="pt-BR"/>
              </w:rPr>
            </w:pPr>
            <w:r w:rsidRPr="000A4D81">
              <w:rPr>
                <w:rFonts w:eastAsia="Times New Roman"/>
                <w:b/>
                <w:bCs/>
                <w:color w:val="FFFFFF"/>
                <w:sz w:val="22"/>
                <w:szCs w:val="22"/>
                <w:lang w:eastAsia="pt-BR"/>
              </w:rPr>
              <w:t> </w:t>
            </w:r>
          </w:p>
        </w:tc>
        <w:tc>
          <w:tcPr>
            <w:tcW w:w="1032" w:type="dxa"/>
            <w:tcBorders>
              <w:top w:val="nil"/>
              <w:left w:val="nil"/>
              <w:bottom w:val="nil"/>
              <w:right w:val="nil"/>
            </w:tcBorders>
            <w:shd w:val="clear" w:color="000000" w:fill="FFFFFF"/>
            <w:noWrap/>
            <w:vAlign w:val="center"/>
            <w:hideMark/>
          </w:tcPr>
          <w:p w:rsidR="00E27B5E" w:rsidRPr="000A4D81" w:rsidRDefault="00E27B5E" w:rsidP="00E27B5E">
            <w:pPr>
              <w:jc w:val="center"/>
              <w:rPr>
                <w:rFonts w:eastAsia="Times New Roman"/>
                <w:b/>
                <w:bCs/>
                <w:color w:val="FFFFFF"/>
                <w:sz w:val="22"/>
                <w:lang w:eastAsia="pt-BR"/>
              </w:rPr>
            </w:pPr>
            <w:r w:rsidRPr="000A4D81">
              <w:rPr>
                <w:rFonts w:eastAsia="Times New Roman"/>
                <w:b/>
                <w:bCs/>
                <w:color w:val="FFFFFF"/>
                <w:sz w:val="22"/>
                <w:szCs w:val="22"/>
                <w:lang w:eastAsia="pt-BR"/>
              </w:rPr>
              <w:t> </w:t>
            </w:r>
          </w:p>
        </w:tc>
        <w:tc>
          <w:tcPr>
            <w:tcW w:w="425" w:type="dxa"/>
            <w:tcBorders>
              <w:top w:val="nil"/>
              <w:left w:val="nil"/>
              <w:bottom w:val="nil"/>
              <w:right w:val="nil"/>
            </w:tcBorders>
            <w:shd w:val="clear" w:color="000000" w:fill="FFFFFF"/>
            <w:noWrap/>
            <w:vAlign w:val="center"/>
            <w:hideMark/>
          </w:tcPr>
          <w:p w:rsidR="00E27B5E" w:rsidRPr="000A4D81" w:rsidRDefault="00E27B5E" w:rsidP="00E27B5E">
            <w:pPr>
              <w:jc w:val="center"/>
              <w:rPr>
                <w:rFonts w:eastAsia="Times New Roman"/>
                <w:b/>
                <w:bCs/>
                <w:color w:val="FFFFFF"/>
                <w:sz w:val="22"/>
                <w:lang w:eastAsia="pt-BR"/>
              </w:rPr>
            </w:pPr>
            <w:r w:rsidRPr="000A4D81">
              <w:rPr>
                <w:rFonts w:eastAsia="Times New Roman"/>
                <w:b/>
                <w:bCs/>
                <w:color w:val="FFFFFF"/>
                <w:sz w:val="22"/>
                <w:szCs w:val="22"/>
                <w:lang w:eastAsia="pt-BR"/>
              </w:rPr>
              <w:t> </w:t>
            </w:r>
          </w:p>
        </w:tc>
        <w:tc>
          <w:tcPr>
            <w:tcW w:w="1134" w:type="dxa"/>
            <w:tcBorders>
              <w:top w:val="nil"/>
              <w:left w:val="nil"/>
              <w:bottom w:val="single" w:sz="4" w:space="0" w:color="auto"/>
              <w:right w:val="nil"/>
            </w:tcBorders>
            <w:shd w:val="clear" w:color="000000" w:fill="FFFFFF"/>
            <w:noWrap/>
            <w:vAlign w:val="center"/>
            <w:hideMark/>
          </w:tcPr>
          <w:p w:rsidR="00E27B5E" w:rsidRPr="000A4D81" w:rsidRDefault="00E27B5E" w:rsidP="00E27B5E">
            <w:pPr>
              <w:jc w:val="center"/>
              <w:rPr>
                <w:rFonts w:eastAsia="Times New Roman"/>
                <w:b/>
                <w:bCs/>
                <w:color w:val="FFFFFF"/>
                <w:sz w:val="22"/>
                <w:lang w:eastAsia="pt-BR"/>
              </w:rPr>
            </w:pPr>
            <w:r w:rsidRPr="000A4D81">
              <w:rPr>
                <w:rFonts w:eastAsia="Times New Roman"/>
                <w:b/>
                <w:bCs/>
                <w:color w:val="FFFFFF"/>
                <w:sz w:val="22"/>
                <w:szCs w:val="22"/>
                <w:lang w:eastAsia="pt-BR"/>
              </w:rPr>
              <w:t> </w:t>
            </w:r>
          </w:p>
        </w:tc>
        <w:tc>
          <w:tcPr>
            <w:tcW w:w="960" w:type="dxa"/>
            <w:tcBorders>
              <w:top w:val="nil"/>
              <w:left w:val="nil"/>
              <w:bottom w:val="single" w:sz="4" w:space="0" w:color="auto"/>
              <w:right w:val="nil"/>
            </w:tcBorders>
            <w:shd w:val="clear" w:color="auto" w:fill="auto"/>
            <w:noWrap/>
            <w:vAlign w:val="bottom"/>
            <w:hideMark/>
          </w:tcPr>
          <w:p w:rsidR="00E27B5E" w:rsidRPr="000A4D81" w:rsidRDefault="00E27B5E" w:rsidP="00E27B5E">
            <w:pPr>
              <w:jc w:val="left"/>
              <w:rPr>
                <w:rFonts w:eastAsia="Times New Roman"/>
                <w:color w:val="000000"/>
                <w:sz w:val="22"/>
                <w:lang w:eastAsia="pt-BR"/>
              </w:rPr>
            </w:pPr>
          </w:p>
        </w:tc>
        <w:tc>
          <w:tcPr>
            <w:tcW w:w="1020" w:type="dxa"/>
            <w:tcBorders>
              <w:top w:val="nil"/>
              <w:left w:val="nil"/>
              <w:bottom w:val="single" w:sz="4" w:space="0" w:color="auto"/>
              <w:right w:val="nil"/>
            </w:tcBorders>
            <w:shd w:val="clear" w:color="auto" w:fill="auto"/>
            <w:noWrap/>
            <w:vAlign w:val="bottom"/>
            <w:hideMark/>
          </w:tcPr>
          <w:p w:rsidR="00E27B5E" w:rsidRPr="000A4D81" w:rsidRDefault="00E27B5E" w:rsidP="00E27B5E">
            <w:pPr>
              <w:jc w:val="left"/>
              <w:rPr>
                <w:rFonts w:eastAsia="Times New Roman"/>
                <w:color w:val="000000"/>
                <w:sz w:val="22"/>
                <w:lang w:eastAsia="pt-BR"/>
              </w:rPr>
            </w:pPr>
          </w:p>
        </w:tc>
        <w:tc>
          <w:tcPr>
            <w:tcW w:w="713" w:type="dxa"/>
            <w:tcBorders>
              <w:top w:val="nil"/>
              <w:left w:val="nil"/>
              <w:bottom w:val="single" w:sz="4" w:space="0" w:color="auto"/>
              <w:right w:val="single" w:sz="8" w:space="0" w:color="auto"/>
            </w:tcBorders>
            <w:shd w:val="clear" w:color="auto" w:fill="auto"/>
            <w:noWrap/>
            <w:vAlign w:val="bottom"/>
            <w:hideMark/>
          </w:tcPr>
          <w:p w:rsidR="00E27B5E" w:rsidRPr="000A4D81" w:rsidRDefault="00E27B5E" w:rsidP="00E27B5E">
            <w:pPr>
              <w:jc w:val="left"/>
              <w:rPr>
                <w:rFonts w:eastAsia="Times New Roman"/>
                <w:color w:val="000000"/>
                <w:sz w:val="22"/>
                <w:lang w:eastAsia="pt-BR"/>
              </w:rPr>
            </w:pPr>
            <w:r w:rsidRPr="000A4D81">
              <w:rPr>
                <w:rFonts w:eastAsia="Times New Roman"/>
                <w:color w:val="000000"/>
                <w:sz w:val="22"/>
                <w:szCs w:val="22"/>
                <w:lang w:eastAsia="pt-BR"/>
              </w:rPr>
              <w:t> </w:t>
            </w:r>
          </w:p>
        </w:tc>
      </w:tr>
      <w:tr w:rsidR="00E27B5E" w:rsidRPr="000A4D81" w:rsidTr="00E27B5E">
        <w:trPr>
          <w:trHeight w:val="315"/>
        </w:trPr>
        <w:tc>
          <w:tcPr>
            <w:tcW w:w="5599" w:type="dxa"/>
            <w:gridSpan w:val="3"/>
            <w:tcBorders>
              <w:top w:val="single" w:sz="8" w:space="0" w:color="auto"/>
              <w:left w:val="single" w:sz="8" w:space="0" w:color="auto"/>
              <w:bottom w:val="single" w:sz="8" w:space="0" w:color="auto"/>
              <w:right w:val="single" w:sz="8" w:space="0" w:color="000000"/>
            </w:tcBorders>
            <w:shd w:val="clear" w:color="000000" w:fill="D7E4BC"/>
            <w:noWrap/>
            <w:vAlign w:val="center"/>
            <w:hideMark/>
          </w:tcPr>
          <w:p w:rsidR="00E27B5E" w:rsidRPr="000A4D81" w:rsidRDefault="00E27B5E" w:rsidP="005D00ED">
            <w:pPr>
              <w:jc w:val="center"/>
              <w:rPr>
                <w:rFonts w:eastAsia="Times New Roman"/>
                <w:b/>
                <w:bCs/>
                <w:sz w:val="22"/>
                <w:lang w:eastAsia="pt-BR"/>
              </w:rPr>
            </w:pPr>
            <w:r w:rsidRPr="000A4D81">
              <w:rPr>
                <w:rFonts w:eastAsia="Times New Roman"/>
                <w:b/>
                <w:bCs/>
                <w:sz w:val="22"/>
                <w:szCs w:val="22"/>
                <w:lang w:eastAsia="pt-BR"/>
              </w:rPr>
              <w:t xml:space="preserve">BDI </w:t>
            </w:r>
            <w:r w:rsidRPr="00A80ACF">
              <w:rPr>
                <w:rFonts w:eastAsia="Times New Roman"/>
                <w:b/>
                <w:bCs/>
                <w:sz w:val="22"/>
                <w:szCs w:val="22"/>
                <w:lang w:eastAsia="pt-BR"/>
              </w:rPr>
              <w:t>APLICADO N</w:t>
            </w:r>
            <w:r w:rsidR="005D00ED" w:rsidRPr="00A80ACF">
              <w:rPr>
                <w:rFonts w:eastAsia="Times New Roman"/>
                <w:b/>
                <w:bCs/>
                <w:sz w:val="22"/>
                <w:szCs w:val="22"/>
                <w:lang w:eastAsia="pt-BR"/>
              </w:rPr>
              <w:t>OS SERVIÇOS</w:t>
            </w:r>
          </w:p>
        </w:tc>
        <w:tc>
          <w:tcPr>
            <w:tcW w:w="425" w:type="dxa"/>
            <w:tcBorders>
              <w:top w:val="nil"/>
              <w:left w:val="nil"/>
              <w:bottom w:val="nil"/>
              <w:right w:val="single" w:sz="4" w:space="0" w:color="auto"/>
            </w:tcBorders>
            <w:shd w:val="clear" w:color="000000" w:fill="FFFFFF"/>
            <w:noWrap/>
            <w:vAlign w:val="center"/>
            <w:hideMark/>
          </w:tcPr>
          <w:p w:rsidR="00E27B5E" w:rsidRPr="000A4D81" w:rsidRDefault="00E27B5E" w:rsidP="00E27B5E">
            <w:pPr>
              <w:jc w:val="center"/>
              <w:rPr>
                <w:rFonts w:eastAsia="Times New Roman"/>
                <w:b/>
                <w:bCs/>
                <w:color w:val="FFFFFF"/>
                <w:sz w:val="22"/>
                <w:lang w:eastAsia="pt-BR"/>
              </w:rPr>
            </w:pPr>
            <w:r w:rsidRPr="000A4D81">
              <w:rPr>
                <w:rFonts w:eastAsia="Times New Roman"/>
                <w:b/>
                <w:bCs/>
                <w:color w:val="FFFFFF"/>
                <w:sz w:val="22"/>
                <w:szCs w:val="22"/>
                <w:lang w:eastAsia="pt-BR"/>
              </w:rPr>
              <w:t> </w:t>
            </w:r>
          </w:p>
        </w:tc>
        <w:tc>
          <w:tcPr>
            <w:tcW w:w="3827" w:type="dxa"/>
            <w:gridSpan w:val="4"/>
            <w:vMerge w:val="restart"/>
            <w:tcBorders>
              <w:top w:val="single" w:sz="4" w:space="0" w:color="auto"/>
              <w:left w:val="single" w:sz="4" w:space="0" w:color="auto"/>
              <w:bottom w:val="single" w:sz="4" w:space="0" w:color="auto"/>
              <w:right w:val="single" w:sz="4" w:space="0" w:color="auto"/>
            </w:tcBorders>
            <w:shd w:val="clear" w:color="000000" w:fill="D7E4BC"/>
            <w:vAlign w:val="center"/>
            <w:hideMark/>
          </w:tcPr>
          <w:p w:rsidR="00E27B5E" w:rsidRPr="000A4D81" w:rsidRDefault="00E27B5E" w:rsidP="00E27B5E">
            <w:pPr>
              <w:jc w:val="center"/>
              <w:rPr>
                <w:rFonts w:eastAsia="Times New Roman"/>
                <w:b/>
                <w:bCs/>
                <w:sz w:val="18"/>
                <w:szCs w:val="18"/>
                <w:lang w:eastAsia="pt-BR"/>
              </w:rPr>
            </w:pPr>
            <w:r w:rsidRPr="000A4D81">
              <w:rPr>
                <w:rFonts w:eastAsia="Times New Roman"/>
                <w:b/>
                <w:bCs/>
                <w:sz w:val="18"/>
                <w:szCs w:val="18"/>
                <w:lang w:eastAsia="pt-BR"/>
              </w:rPr>
              <w:t>FAIXAS DE ADMISSIBILIDADE DE ACORDO COM O ACORDÃO N. 2622/2013 DO TCU</w:t>
            </w:r>
          </w:p>
        </w:tc>
      </w:tr>
      <w:tr w:rsidR="00E27B5E" w:rsidRPr="000A4D81" w:rsidTr="00E27B5E">
        <w:trPr>
          <w:trHeight w:val="255"/>
        </w:trPr>
        <w:tc>
          <w:tcPr>
            <w:tcW w:w="77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E27B5E" w:rsidRPr="000A4D81" w:rsidRDefault="00E27B5E" w:rsidP="00E27B5E">
            <w:pPr>
              <w:jc w:val="center"/>
              <w:rPr>
                <w:rFonts w:eastAsia="Times New Roman"/>
                <w:b/>
                <w:bCs/>
                <w:sz w:val="18"/>
                <w:szCs w:val="18"/>
                <w:lang w:eastAsia="pt-BR"/>
              </w:rPr>
            </w:pPr>
            <w:r w:rsidRPr="000A4D81">
              <w:rPr>
                <w:rFonts w:eastAsia="Times New Roman"/>
                <w:b/>
                <w:bCs/>
                <w:sz w:val="18"/>
                <w:szCs w:val="18"/>
                <w:lang w:eastAsia="pt-BR"/>
              </w:rPr>
              <w:t>ITEM</w:t>
            </w:r>
          </w:p>
        </w:tc>
        <w:tc>
          <w:tcPr>
            <w:tcW w:w="3788"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E27B5E" w:rsidRPr="000A4D81" w:rsidRDefault="00E27B5E" w:rsidP="00E27B5E">
            <w:pPr>
              <w:jc w:val="center"/>
              <w:rPr>
                <w:rFonts w:eastAsia="Times New Roman"/>
                <w:b/>
                <w:bCs/>
                <w:sz w:val="18"/>
                <w:szCs w:val="18"/>
                <w:lang w:eastAsia="pt-BR"/>
              </w:rPr>
            </w:pPr>
            <w:r w:rsidRPr="000A4D81">
              <w:rPr>
                <w:rFonts w:eastAsia="Times New Roman"/>
                <w:b/>
                <w:bCs/>
                <w:sz w:val="18"/>
                <w:szCs w:val="18"/>
                <w:lang w:eastAsia="pt-BR"/>
              </w:rPr>
              <w:t xml:space="preserve">DISCRIMINAÇÃO </w:t>
            </w:r>
          </w:p>
        </w:tc>
        <w:tc>
          <w:tcPr>
            <w:tcW w:w="1032"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E27B5E" w:rsidRPr="000A4D81" w:rsidRDefault="00E27B5E" w:rsidP="00E27B5E">
            <w:pPr>
              <w:jc w:val="center"/>
              <w:rPr>
                <w:rFonts w:eastAsia="Times New Roman"/>
                <w:b/>
                <w:bCs/>
                <w:sz w:val="18"/>
                <w:szCs w:val="18"/>
                <w:lang w:eastAsia="pt-BR"/>
              </w:rPr>
            </w:pPr>
            <w:r w:rsidRPr="000A4D81">
              <w:rPr>
                <w:rFonts w:eastAsia="Times New Roman"/>
                <w:b/>
                <w:bCs/>
                <w:sz w:val="18"/>
                <w:szCs w:val="18"/>
                <w:lang w:eastAsia="pt-BR"/>
              </w:rPr>
              <w:t>PERC.     (%)</w:t>
            </w:r>
          </w:p>
        </w:tc>
        <w:tc>
          <w:tcPr>
            <w:tcW w:w="425" w:type="dxa"/>
            <w:tcBorders>
              <w:top w:val="nil"/>
              <w:left w:val="nil"/>
              <w:bottom w:val="nil"/>
              <w:right w:val="single" w:sz="4" w:space="0" w:color="auto"/>
            </w:tcBorders>
            <w:shd w:val="clear" w:color="000000" w:fill="FFFFFF"/>
            <w:noWrap/>
            <w:vAlign w:val="center"/>
            <w:hideMark/>
          </w:tcPr>
          <w:p w:rsidR="00E27B5E" w:rsidRPr="000A4D81" w:rsidRDefault="00E27B5E" w:rsidP="00E27B5E">
            <w:pPr>
              <w:jc w:val="center"/>
              <w:rPr>
                <w:rFonts w:eastAsia="Times New Roman"/>
                <w:b/>
                <w:bCs/>
                <w:sz w:val="18"/>
                <w:szCs w:val="18"/>
                <w:lang w:eastAsia="pt-BR"/>
              </w:rPr>
            </w:pPr>
            <w:r w:rsidRPr="000A4D81">
              <w:rPr>
                <w:rFonts w:eastAsia="Times New Roman"/>
                <w:b/>
                <w:bCs/>
                <w:sz w:val="18"/>
                <w:szCs w:val="18"/>
                <w:lang w:eastAsia="pt-BR"/>
              </w:rPr>
              <w:t> </w:t>
            </w:r>
          </w:p>
        </w:tc>
        <w:tc>
          <w:tcPr>
            <w:tcW w:w="3827" w:type="dxa"/>
            <w:gridSpan w:val="4"/>
            <w:vMerge/>
            <w:tcBorders>
              <w:top w:val="nil"/>
              <w:left w:val="single" w:sz="4" w:space="0" w:color="auto"/>
              <w:bottom w:val="nil"/>
              <w:right w:val="single" w:sz="4" w:space="0" w:color="auto"/>
            </w:tcBorders>
            <w:vAlign w:val="center"/>
            <w:hideMark/>
          </w:tcPr>
          <w:p w:rsidR="00E27B5E" w:rsidRPr="000A4D81" w:rsidRDefault="00E27B5E" w:rsidP="00E27B5E">
            <w:pPr>
              <w:jc w:val="left"/>
              <w:rPr>
                <w:rFonts w:eastAsia="Times New Roman"/>
                <w:b/>
                <w:bCs/>
                <w:sz w:val="18"/>
                <w:szCs w:val="18"/>
                <w:lang w:eastAsia="pt-BR"/>
              </w:rPr>
            </w:pPr>
          </w:p>
        </w:tc>
      </w:tr>
      <w:tr w:rsidR="00E27B5E" w:rsidRPr="000A4D81" w:rsidTr="00E27B5E">
        <w:trPr>
          <w:trHeight w:val="270"/>
        </w:trPr>
        <w:tc>
          <w:tcPr>
            <w:tcW w:w="779" w:type="dxa"/>
            <w:vMerge/>
            <w:tcBorders>
              <w:top w:val="nil"/>
              <w:left w:val="single" w:sz="8" w:space="0" w:color="auto"/>
              <w:bottom w:val="single" w:sz="8" w:space="0" w:color="000000"/>
              <w:right w:val="single" w:sz="4" w:space="0" w:color="auto"/>
            </w:tcBorders>
            <w:vAlign w:val="center"/>
            <w:hideMark/>
          </w:tcPr>
          <w:p w:rsidR="00E27B5E" w:rsidRPr="000A4D81" w:rsidRDefault="00E27B5E" w:rsidP="00E27B5E">
            <w:pPr>
              <w:jc w:val="left"/>
              <w:rPr>
                <w:rFonts w:eastAsia="Times New Roman"/>
                <w:b/>
                <w:bCs/>
                <w:sz w:val="18"/>
                <w:szCs w:val="18"/>
                <w:lang w:eastAsia="pt-BR"/>
              </w:rPr>
            </w:pPr>
          </w:p>
        </w:tc>
        <w:tc>
          <w:tcPr>
            <w:tcW w:w="3788" w:type="dxa"/>
            <w:vMerge/>
            <w:tcBorders>
              <w:top w:val="nil"/>
              <w:left w:val="single" w:sz="4" w:space="0" w:color="auto"/>
              <w:bottom w:val="single" w:sz="8" w:space="0" w:color="000000"/>
              <w:right w:val="single" w:sz="4" w:space="0" w:color="auto"/>
            </w:tcBorders>
            <w:vAlign w:val="center"/>
            <w:hideMark/>
          </w:tcPr>
          <w:p w:rsidR="00E27B5E" w:rsidRPr="000A4D81" w:rsidRDefault="00E27B5E" w:rsidP="00E27B5E">
            <w:pPr>
              <w:jc w:val="left"/>
              <w:rPr>
                <w:rFonts w:eastAsia="Times New Roman"/>
                <w:b/>
                <w:bCs/>
                <w:sz w:val="18"/>
                <w:szCs w:val="18"/>
                <w:lang w:eastAsia="pt-BR"/>
              </w:rPr>
            </w:pPr>
          </w:p>
        </w:tc>
        <w:tc>
          <w:tcPr>
            <w:tcW w:w="1032" w:type="dxa"/>
            <w:vMerge/>
            <w:tcBorders>
              <w:top w:val="nil"/>
              <w:left w:val="single" w:sz="4" w:space="0" w:color="auto"/>
              <w:bottom w:val="single" w:sz="8" w:space="0" w:color="000000"/>
              <w:right w:val="single" w:sz="8" w:space="0" w:color="auto"/>
            </w:tcBorders>
            <w:vAlign w:val="center"/>
            <w:hideMark/>
          </w:tcPr>
          <w:p w:rsidR="00E27B5E" w:rsidRPr="000A4D81" w:rsidRDefault="00E27B5E" w:rsidP="00E27B5E">
            <w:pPr>
              <w:jc w:val="left"/>
              <w:rPr>
                <w:rFonts w:eastAsia="Times New Roman"/>
                <w:b/>
                <w:bCs/>
                <w:sz w:val="18"/>
                <w:szCs w:val="18"/>
                <w:lang w:eastAsia="pt-BR"/>
              </w:rPr>
            </w:pPr>
          </w:p>
        </w:tc>
        <w:tc>
          <w:tcPr>
            <w:tcW w:w="425" w:type="dxa"/>
            <w:tcBorders>
              <w:top w:val="nil"/>
              <w:left w:val="nil"/>
              <w:bottom w:val="nil"/>
              <w:right w:val="nil"/>
            </w:tcBorders>
            <w:shd w:val="clear" w:color="000000" w:fill="FFFFFF"/>
            <w:noWrap/>
            <w:vAlign w:val="center"/>
            <w:hideMark/>
          </w:tcPr>
          <w:p w:rsidR="00E27B5E" w:rsidRPr="000A4D81" w:rsidRDefault="00E27B5E" w:rsidP="00E27B5E">
            <w:pPr>
              <w:jc w:val="center"/>
              <w:rPr>
                <w:rFonts w:eastAsia="Times New Roman"/>
                <w:b/>
                <w:bCs/>
                <w:sz w:val="18"/>
                <w:szCs w:val="18"/>
                <w:lang w:eastAsia="pt-BR"/>
              </w:rPr>
            </w:pPr>
            <w:r w:rsidRPr="000A4D81">
              <w:rPr>
                <w:rFonts w:eastAsia="Times New Roman"/>
                <w:b/>
                <w:bCs/>
                <w:sz w:val="18"/>
                <w:szCs w:val="18"/>
                <w:lang w:eastAsia="pt-BR"/>
              </w:rPr>
              <w:t> </w:t>
            </w:r>
          </w:p>
        </w:tc>
        <w:tc>
          <w:tcPr>
            <w:tcW w:w="1134" w:type="dxa"/>
            <w:tcBorders>
              <w:top w:val="nil"/>
              <w:left w:val="single" w:sz="8" w:space="0" w:color="auto"/>
              <w:bottom w:val="single" w:sz="8" w:space="0" w:color="auto"/>
              <w:right w:val="single" w:sz="4" w:space="0" w:color="auto"/>
            </w:tcBorders>
            <w:shd w:val="clear" w:color="auto" w:fill="auto"/>
            <w:noWrap/>
            <w:vAlign w:val="center"/>
            <w:hideMark/>
          </w:tcPr>
          <w:p w:rsidR="00E27B5E" w:rsidRPr="000A4D81" w:rsidRDefault="00E27B5E" w:rsidP="00E27B5E">
            <w:pPr>
              <w:jc w:val="center"/>
              <w:rPr>
                <w:rFonts w:eastAsia="Times New Roman"/>
                <w:b/>
                <w:bCs/>
                <w:sz w:val="18"/>
                <w:szCs w:val="18"/>
                <w:lang w:eastAsia="pt-BR"/>
              </w:rPr>
            </w:pPr>
            <w:r w:rsidRPr="000A4D81">
              <w:rPr>
                <w:rFonts w:eastAsia="Times New Roman"/>
                <w:b/>
                <w:bCs/>
                <w:sz w:val="18"/>
                <w:szCs w:val="18"/>
                <w:lang w:eastAsia="pt-BR"/>
              </w:rPr>
              <w:t>MÍNIMO</w:t>
            </w:r>
          </w:p>
        </w:tc>
        <w:tc>
          <w:tcPr>
            <w:tcW w:w="1980"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E27B5E" w:rsidRPr="000A4D81" w:rsidRDefault="00E27B5E" w:rsidP="00E27B5E">
            <w:pPr>
              <w:jc w:val="center"/>
              <w:rPr>
                <w:rFonts w:eastAsia="Times New Roman"/>
                <w:b/>
                <w:bCs/>
                <w:sz w:val="18"/>
                <w:szCs w:val="18"/>
                <w:lang w:eastAsia="pt-BR"/>
              </w:rPr>
            </w:pPr>
            <w:r w:rsidRPr="000A4D81">
              <w:rPr>
                <w:rFonts w:eastAsia="Times New Roman"/>
                <w:b/>
                <w:bCs/>
                <w:sz w:val="18"/>
                <w:szCs w:val="18"/>
                <w:lang w:eastAsia="pt-BR"/>
              </w:rPr>
              <w:t>MÉDIO</w:t>
            </w:r>
          </w:p>
        </w:tc>
        <w:tc>
          <w:tcPr>
            <w:tcW w:w="713" w:type="dxa"/>
            <w:tcBorders>
              <w:top w:val="nil"/>
              <w:left w:val="nil"/>
              <w:bottom w:val="single" w:sz="4" w:space="0" w:color="auto"/>
              <w:right w:val="single" w:sz="4" w:space="0" w:color="auto"/>
            </w:tcBorders>
            <w:shd w:val="clear" w:color="auto" w:fill="auto"/>
            <w:noWrap/>
            <w:vAlign w:val="center"/>
            <w:hideMark/>
          </w:tcPr>
          <w:p w:rsidR="00E27B5E" w:rsidRPr="000A4D81" w:rsidRDefault="00E27B5E" w:rsidP="00E27B5E">
            <w:pPr>
              <w:jc w:val="center"/>
              <w:rPr>
                <w:rFonts w:eastAsia="Times New Roman"/>
                <w:b/>
                <w:bCs/>
                <w:sz w:val="18"/>
                <w:szCs w:val="18"/>
                <w:lang w:eastAsia="pt-BR"/>
              </w:rPr>
            </w:pPr>
            <w:r w:rsidRPr="000A4D81">
              <w:rPr>
                <w:rFonts w:eastAsia="Times New Roman"/>
                <w:b/>
                <w:bCs/>
                <w:sz w:val="18"/>
                <w:szCs w:val="18"/>
                <w:lang w:eastAsia="pt-BR"/>
              </w:rPr>
              <w:t>MÁXIMO</w:t>
            </w:r>
          </w:p>
        </w:tc>
      </w:tr>
      <w:tr w:rsidR="00E27B5E" w:rsidRPr="000A4D81" w:rsidTr="00E27B5E">
        <w:trPr>
          <w:trHeight w:val="300"/>
        </w:trPr>
        <w:tc>
          <w:tcPr>
            <w:tcW w:w="5599" w:type="dxa"/>
            <w:gridSpan w:val="3"/>
            <w:tcBorders>
              <w:top w:val="nil"/>
              <w:left w:val="single" w:sz="8" w:space="0" w:color="auto"/>
              <w:bottom w:val="nil"/>
              <w:right w:val="nil"/>
            </w:tcBorders>
            <w:shd w:val="clear" w:color="auto" w:fill="auto"/>
            <w:noWrap/>
            <w:vAlign w:val="center"/>
            <w:hideMark/>
          </w:tcPr>
          <w:p w:rsidR="00E27B5E" w:rsidRPr="000A4D81" w:rsidRDefault="00E27B5E" w:rsidP="00E27B5E">
            <w:pPr>
              <w:jc w:val="left"/>
              <w:rPr>
                <w:rFonts w:eastAsia="Times New Roman"/>
                <w:szCs w:val="20"/>
                <w:lang w:eastAsia="pt-BR"/>
              </w:rPr>
            </w:pPr>
            <w:r w:rsidRPr="000A4D81">
              <w:rPr>
                <w:rFonts w:eastAsia="Times New Roman"/>
                <w:szCs w:val="20"/>
                <w:lang w:eastAsia="pt-BR"/>
              </w:rPr>
              <w:t> </w:t>
            </w:r>
          </w:p>
        </w:tc>
        <w:tc>
          <w:tcPr>
            <w:tcW w:w="425" w:type="dxa"/>
            <w:tcBorders>
              <w:top w:val="nil"/>
              <w:left w:val="nil"/>
              <w:bottom w:val="nil"/>
              <w:right w:val="nil"/>
            </w:tcBorders>
            <w:shd w:val="clear" w:color="auto" w:fill="auto"/>
            <w:noWrap/>
            <w:vAlign w:val="center"/>
            <w:hideMark/>
          </w:tcPr>
          <w:p w:rsidR="00E27B5E" w:rsidRPr="000A4D81" w:rsidRDefault="00E27B5E" w:rsidP="00E27B5E">
            <w:pPr>
              <w:jc w:val="left"/>
              <w:rPr>
                <w:rFonts w:eastAsia="Times New Roman"/>
                <w:szCs w:val="20"/>
                <w:lang w:eastAsia="pt-BR"/>
              </w:rPr>
            </w:pPr>
          </w:p>
        </w:tc>
        <w:tc>
          <w:tcPr>
            <w:tcW w:w="1134" w:type="dxa"/>
            <w:tcBorders>
              <w:top w:val="nil"/>
              <w:left w:val="nil"/>
              <w:bottom w:val="nil"/>
              <w:right w:val="nil"/>
            </w:tcBorders>
            <w:shd w:val="clear" w:color="auto" w:fill="auto"/>
            <w:noWrap/>
            <w:vAlign w:val="center"/>
            <w:hideMark/>
          </w:tcPr>
          <w:p w:rsidR="00E27B5E" w:rsidRPr="000A4D81" w:rsidRDefault="00E27B5E" w:rsidP="00E27B5E">
            <w:pPr>
              <w:jc w:val="left"/>
              <w:rPr>
                <w:rFonts w:eastAsia="Times New Roman"/>
                <w:szCs w:val="20"/>
                <w:lang w:eastAsia="pt-BR"/>
              </w:rPr>
            </w:pPr>
          </w:p>
        </w:tc>
        <w:tc>
          <w:tcPr>
            <w:tcW w:w="960" w:type="dxa"/>
            <w:tcBorders>
              <w:top w:val="single" w:sz="4" w:space="0" w:color="auto"/>
              <w:left w:val="nil"/>
              <w:bottom w:val="nil"/>
              <w:right w:val="nil"/>
            </w:tcBorders>
            <w:shd w:val="clear" w:color="auto" w:fill="auto"/>
            <w:noWrap/>
            <w:vAlign w:val="bottom"/>
            <w:hideMark/>
          </w:tcPr>
          <w:p w:rsidR="00E27B5E" w:rsidRPr="000A4D81" w:rsidRDefault="00E27B5E" w:rsidP="00E27B5E">
            <w:pPr>
              <w:jc w:val="left"/>
              <w:rPr>
                <w:rFonts w:eastAsia="Times New Roman"/>
                <w:color w:val="000000"/>
                <w:sz w:val="22"/>
                <w:lang w:eastAsia="pt-BR"/>
              </w:rPr>
            </w:pPr>
          </w:p>
        </w:tc>
        <w:tc>
          <w:tcPr>
            <w:tcW w:w="1020" w:type="dxa"/>
            <w:tcBorders>
              <w:top w:val="single" w:sz="4" w:space="0" w:color="auto"/>
              <w:left w:val="nil"/>
              <w:bottom w:val="nil"/>
              <w:right w:val="nil"/>
            </w:tcBorders>
            <w:shd w:val="clear" w:color="auto" w:fill="auto"/>
            <w:noWrap/>
            <w:vAlign w:val="bottom"/>
            <w:hideMark/>
          </w:tcPr>
          <w:p w:rsidR="00E27B5E" w:rsidRPr="000A4D81" w:rsidRDefault="00E27B5E" w:rsidP="00E27B5E">
            <w:pPr>
              <w:jc w:val="left"/>
              <w:rPr>
                <w:rFonts w:eastAsia="Times New Roman"/>
                <w:color w:val="000000"/>
                <w:sz w:val="22"/>
                <w:lang w:eastAsia="pt-BR"/>
              </w:rPr>
            </w:pPr>
          </w:p>
        </w:tc>
        <w:tc>
          <w:tcPr>
            <w:tcW w:w="713" w:type="dxa"/>
            <w:tcBorders>
              <w:top w:val="single" w:sz="4" w:space="0" w:color="auto"/>
              <w:left w:val="nil"/>
              <w:bottom w:val="nil"/>
              <w:right w:val="single" w:sz="8" w:space="0" w:color="auto"/>
            </w:tcBorders>
            <w:shd w:val="clear" w:color="auto" w:fill="auto"/>
            <w:noWrap/>
            <w:vAlign w:val="bottom"/>
            <w:hideMark/>
          </w:tcPr>
          <w:p w:rsidR="00E27B5E" w:rsidRPr="000A4D81" w:rsidRDefault="00E27B5E" w:rsidP="00E27B5E">
            <w:pPr>
              <w:jc w:val="left"/>
              <w:rPr>
                <w:rFonts w:eastAsia="Times New Roman"/>
                <w:color w:val="000000"/>
                <w:sz w:val="22"/>
                <w:lang w:eastAsia="pt-BR"/>
              </w:rPr>
            </w:pPr>
            <w:r w:rsidRPr="000A4D81">
              <w:rPr>
                <w:rFonts w:eastAsia="Times New Roman"/>
                <w:color w:val="000000"/>
                <w:sz w:val="22"/>
                <w:szCs w:val="22"/>
                <w:lang w:eastAsia="pt-BR"/>
              </w:rPr>
              <w:t> </w:t>
            </w:r>
          </w:p>
        </w:tc>
      </w:tr>
      <w:tr w:rsidR="00E27B5E" w:rsidRPr="000A4D81" w:rsidTr="00E27B5E">
        <w:trPr>
          <w:trHeight w:val="285"/>
        </w:trPr>
        <w:tc>
          <w:tcPr>
            <w:tcW w:w="779"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27B5E" w:rsidRPr="000A4D81" w:rsidRDefault="00E27B5E" w:rsidP="00E27B5E">
            <w:pPr>
              <w:jc w:val="center"/>
              <w:rPr>
                <w:rFonts w:eastAsia="Times New Roman"/>
                <w:b/>
                <w:bCs/>
                <w:szCs w:val="20"/>
                <w:lang w:eastAsia="pt-BR"/>
              </w:rPr>
            </w:pPr>
            <w:r w:rsidRPr="000A4D81">
              <w:rPr>
                <w:rFonts w:eastAsia="Times New Roman"/>
                <w:b/>
                <w:bCs/>
                <w:szCs w:val="20"/>
                <w:lang w:eastAsia="pt-BR"/>
              </w:rPr>
              <w:t xml:space="preserve"> 1.00 </w:t>
            </w:r>
          </w:p>
        </w:tc>
        <w:tc>
          <w:tcPr>
            <w:tcW w:w="4820" w:type="dxa"/>
            <w:gridSpan w:val="2"/>
            <w:tcBorders>
              <w:top w:val="single" w:sz="8" w:space="0" w:color="auto"/>
              <w:left w:val="nil"/>
              <w:bottom w:val="single" w:sz="4" w:space="0" w:color="auto"/>
              <w:right w:val="single" w:sz="8" w:space="0" w:color="000000"/>
            </w:tcBorders>
            <w:shd w:val="clear" w:color="auto" w:fill="auto"/>
            <w:vAlign w:val="center"/>
            <w:hideMark/>
          </w:tcPr>
          <w:p w:rsidR="00E27B5E" w:rsidRPr="000A4D81" w:rsidRDefault="00E27B5E" w:rsidP="00E27B5E">
            <w:pPr>
              <w:rPr>
                <w:rFonts w:eastAsia="Times New Roman"/>
                <w:b/>
                <w:bCs/>
                <w:szCs w:val="20"/>
                <w:lang w:eastAsia="pt-BR"/>
              </w:rPr>
            </w:pPr>
            <w:r w:rsidRPr="000A4D81">
              <w:rPr>
                <w:rFonts w:eastAsia="Times New Roman"/>
                <w:b/>
                <w:bCs/>
                <w:szCs w:val="20"/>
                <w:lang w:eastAsia="pt-BR"/>
              </w:rPr>
              <w:t xml:space="preserve"> Despesas Indiretas</w:t>
            </w:r>
          </w:p>
        </w:tc>
        <w:tc>
          <w:tcPr>
            <w:tcW w:w="425" w:type="dxa"/>
            <w:tcBorders>
              <w:top w:val="nil"/>
              <w:left w:val="nil"/>
              <w:bottom w:val="nil"/>
              <w:right w:val="nil"/>
            </w:tcBorders>
            <w:shd w:val="clear" w:color="auto" w:fill="auto"/>
            <w:vAlign w:val="center"/>
            <w:hideMark/>
          </w:tcPr>
          <w:p w:rsidR="00E27B5E" w:rsidRPr="000A4D81" w:rsidRDefault="00E27B5E" w:rsidP="00E27B5E">
            <w:pPr>
              <w:rPr>
                <w:rFonts w:eastAsia="Times New Roman"/>
                <w:b/>
                <w:bCs/>
                <w:szCs w:val="20"/>
                <w:lang w:eastAsia="pt-BR"/>
              </w:rPr>
            </w:pPr>
          </w:p>
        </w:tc>
        <w:tc>
          <w:tcPr>
            <w:tcW w:w="1134"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27B5E" w:rsidRPr="000A4D81" w:rsidRDefault="00E27B5E" w:rsidP="00E27B5E">
            <w:pPr>
              <w:rPr>
                <w:rFonts w:eastAsia="Times New Roman"/>
                <w:b/>
                <w:bCs/>
                <w:szCs w:val="20"/>
                <w:lang w:eastAsia="pt-BR"/>
              </w:rPr>
            </w:pPr>
            <w:r w:rsidRPr="000A4D81">
              <w:rPr>
                <w:rFonts w:eastAsia="Times New Roman"/>
                <w:b/>
                <w:bCs/>
                <w:szCs w:val="20"/>
                <w:lang w:eastAsia="pt-BR"/>
              </w:rPr>
              <w:t> </w:t>
            </w:r>
          </w:p>
        </w:tc>
        <w:tc>
          <w:tcPr>
            <w:tcW w:w="1980" w:type="dxa"/>
            <w:gridSpan w:val="2"/>
            <w:tcBorders>
              <w:top w:val="single" w:sz="8" w:space="0" w:color="auto"/>
              <w:left w:val="nil"/>
              <w:bottom w:val="single" w:sz="4" w:space="0" w:color="auto"/>
              <w:right w:val="single" w:sz="4" w:space="0" w:color="000000"/>
            </w:tcBorders>
            <w:shd w:val="clear" w:color="auto" w:fill="auto"/>
            <w:noWrap/>
            <w:vAlign w:val="bottom"/>
            <w:hideMark/>
          </w:tcPr>
          <w:p w:rsidR="00E27B5E" w:rsidRPr="000A4D81" w:rsidRDefault="00E27B5E" w:rsidP="00E27B5E">
            <w:pPr>
              <w:jc w:val="center"/>
              <w:rPr>
                <w:rFonts w:eastAsia="Times New Roman"/>
                <w:color w:val="000000"/>
                <w:sz w:val="22"/>
                <w:lang w:eastAsia="pt-BR"/>
              </w:rPr>
            </w:pPr>
            <w:r w:rsidRPr="000A4D81">
              <w:rPr>
                <w:rFonts w:eastAsia="Times New Roman"/>
                <w:color w:val="000000"/>
                <w:sz w:val="22"/>
                <w:szCs w:val="22"/>
                <w:lang w:eastAsia="pt-BR"/>
              </w:rPr>
              <w:t> </w:t>
            </w:r>
          </w:p>
        </w:tc>
        <w:tc>
          <w:tcPr>
            <w:tcW w:w="713" w:type="dxa"/>
            <w:tcBorders>
              <w:top w:val="single" w:sz="8" w:space="0" w:color="auto"/>
              <w:left w:val="nil"/>
              <w:bottom w:val="single" w:sz="4" w:space="0" w:color="auto"/>
              <w:right w:val="single" w:sz="8" w:space="0" w:color="auto"/>
            </w:tcBorders>
            <w:shd w:val="clear" w:color="auto" w:fill="auto"/>
            <w:noWrap/>
            <w:vAlign w:val="bottom"/>
            <w:hideMark/>
          </w:tcPr>
          <w:p w:rsidR="00E27B5E" w:rsidRPr="000A4D81" w:rsidRDefault="00E27B5E" w:rsidP="00E27B5E">
            <w:pPr>
              <w:jc w:val="left"/>
              <w:rPr>
                <w:rFonts w:eastAsia="Times New Roman"/>
                <w:color w:val="000000"/>
                <w:sz w:val="22"/>
                <w:lang w:eastAsia="pt-BR"/>
              </w:rPr>
            </w:pPr>
            <w:r w:rsidRPr="000A4D81">
              <w:rPr>
                <w:rFonts w:eastAsia="Times New Roman"/>
                <w:color w:val="000000"/>
                <w:sz w:val="22"/>
                <w:szCs w:val="22"/>
                <w:lang w:eastAsia="pt-BR"/>
              </w:rPr>
              <w:t> </w:t>
            </w:r>
          </w:p>
        </w:tc>
      </w:tr>
      <w:tr w:rsidR="00E27B5E" w:rsidRPr="000A4D81" w:rsidTr="00E27B5E">
        <w:trPr>
          <w:trHeight w:val="255"/>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A1</w:t>
            </w:r>
          </w:p>
        </w:tc>
        <w:tc>
          <w:tcPr>
            <w:tcW w:w="3788" w:type="dxa"/>
            <w:tcBorders>
              <w:top w:val="nil"/>
              <w:left w:val="nil"/>
              <w:bottom w:val="single" w:sz="4" w:space="0" w:color="auto"/>
              <w:right w:val="single" w:sz="4" w:space="0" w:color="auto"/>
            </w:tcBorders>
            <w:shd w:val="clear" w:color="auto" w:fill="auto"/>
            <w:noWrap/>
            <w:vAlign w:val="center"/>
            <w:hideMark/>
          </w:tcPr>
          <w:p w:rsidR="00E27B5E" w:rsidRPr="000A4D81" w:rsidRDefault="00E27B5E" w:rsidP="00E27B5E">
            <w:pPr>
              <w:jc w:val="left"/>
              <w:rPr>
                <w:rFonts w:eastAsia="Times New Roman"/>
                <w:szCs w:val="20"/>
                <w:lang w:eastAsia="pt-BR"/>
              </w:rPr>
            </w:pPr>
            <w:r w:rsidRPr="000A4D81">
              <w:rPr>
                <w:rFonts w:eastAsia="Times New Roman"/>
                <w:szCs w:val="20"/>
                <w:lang w:eastAsia="pt-BR"/>
              </w:rPr>
              <w:t>Seguro e Garantia</w:t>
            </w:r>
          </w:p>
        </w:tc>
        <w:tc>
          <w:tcPr>
            <w:tcW w:w="1032" w:type="dxa"/>
            <w:tcBorders>
              <w:top w:val="nil"/>
              <w:left w:val="nil"/>
              <w:bottom w:val="single" w:sz="4" w:space="0" w:color="auto"/>
              <w:right w:val="single" w:sz="8" w:space="0" w:color="auto"/>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0,30%</w:t>
            </w:r>
          </w:p>
        </w:tc>
        <w:tc>
          <w:tcPr>
            <w:tcW w:w="425" w:type="dxa"/>
            <w:tcBorders>
              <w:top w:val="nil"/>
              <w:left w:val="nil"/>
              <w:bottom w:val="nil"/>
              <w:right w:val="nil"/>
            </w:tcBorders>
            <w:shd w:val="clear" w:color="auto" w:fill="auto"/>
            <w:noWrap/>
            <w:vAlign w:val="center"/>
            <w:hideMark/>
          </w:tcPr>
          <w:p w:rsidR="00E27B5E" w:rsidRPr="000A4D81" w:rsidRDefault="00E27B5E" w:rsidP="00E27B5E">
            <w:pPr>
              <w:jc w:val="center"/>
              <w:rPr>
                <w:rFonts w:eastAsia="Times New Roman"/>
                <w:szCs w:val="20"/>
                <w:lang w:eastAsia="pt-BR"/>
              </w:rPr>
            </w:pP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0,28%</w:t>
            </w:r>
          </w:p>
        </w:tc>
        <w:tc>
          <w:tcPr>
            <w:tcW w:w="198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0,49%</w:t>
            </w:r>
          </w:p>
        </w:tc>
        <w:tc>
          <w:tcPr>
            <w:tcW w:w="713" w:type="dxa"/>
            <w:tcBorders>
              <w:top w:val="nil"/>
              <w:left w:val="nil"/>
              <w:bottom w:val="single" w:sz="4" w:space="0" w:color="auto"/>
              <w:right w:val="single" w:sz="8" w:space="0" w:color="auto"/>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0,75%</w:t>
            </w:r>
          </w:p>
        </w:tc>
      </w:tr>
      <w:tr w:rsidR="00E27B5E" w:rsidRPr="000A4D81" w:rsidTr="00E27B5E">
        <w:trPr>
          <w:trHeight w:val="255"/>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A2</w:t>
            </w:r>
          </w:p>
        </w:tc>
        <w:tc>
          <w:tcPr>
            <w:tcW w:w="3788" w:type="dxa"/>
            <w:tcBorders>
              <w:top w:val="nil"/>
              <w:left w:val="nil"/>
              <w:bottom w:val="single" w:sz="4" w:space="0" w:color="auto"/>
              <w:right w:val="single" w:sz="4" w:space="0" w:color="auto"/>
            </w:tcBorders>
            <w:shd w:val="clear" w:color="auto" w:fill="auto"/>
            <w:noWrap/>
            <w:vAlign w:val="center"/>
            <w:hideMark/>
          </w:tcPr>
          <w:p w:rsidR="00E27B5E" w:rsidRPr="000A4D81" w:rsidRDefault="00E27B5E" w:rsidP="00E27B5E">
            <w:pPr>
              <w:jc w:val="left"/>
              <w:rPr>
                <w:rFonts w:eastAsia="Times New Roman"/>
                <w:szCs w:val="20"/>
                <w:lang w:eastAsia="pt-BR"/>
              </w:rPr>
            </w:pPr>
            <w:r w:rsidRPr="000A4D81">
              <w:rPr>
                <w:rFonts w:eastAsia="Times New Roman"/>
                <w:szCs w:val="20"/>
                <w:lang w:eastAsia="pt-BR"/>
              </w:rPr>
              <w:t>Riscos e Imprevistos</w:t>
            </w:r>
          </w:p>
        </w:tc>
        <w:tc>
          <w:tcPr>
            <w:tcW w:w="1032" w:type="dxa"/>
            <w:tcBorders>
              <w:top w:val="nil"/>
              <w:left w:val="nil"/>
              <w:bottom w:val="single" w:sz="4" w:space="0" w:color="auto"/>
              <w:right w:val="single" w:sz="8" w:space="0" w:color="auto"/>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1,00%</w:t>
            </w:r>
          </w:p>
        </w:tc>
        <w:tc>
          <w:tcPr>
            <w:tcW w:w="425" w:type="dxa"/>
            <w:tcBorders>
              <w:top w:val="nil"/>
              <w:left w:val="nil"/>
              <w:bottom w:val="nil"/>
              <w:right w:val="nil"/>
            </w:tcBorders>
            <w:shd w:val="clear" w:color="auto" w:fill="auto"/>
            <w:noWrap/>
            <w:vAlign w:val="center"/>
            <w:hideMark/>
          </w:tcPr>
          <w:p w:rsidR="00E27B5E" w:rsidRPr="000A4D81" w:rsidRDefault="00E27B5E" w:rsidP="00E27B5E">
            <w:pPr>
              <w:jc w:val="center"/>
              <w:rPr>
                <w:rFonts w:eastAsia="Times New Roman"/>
                <w:szCs w:val="20"/>
                <w:lang w:eastAsia="pt-BR"/>
              </w:rPr>
            </w:pP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1,00%</w:t>
            </w:r>
          </w:p>
        </w:tc>
        <w:tc>
          <w:tcPr>
            <w:tcW w:w="198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1,39%</w:t>
            </w:r>
          </w:p>
        </w:tc>
        <w:tc>
          <w:tcPr>
            <w:tcW w:w="713" w:type="dxa"/>
            <w:tcBorders>
              <w:top w:val="nil"/>
              <w:left w:val="nil"/>
              <w:bottom w:val="single" w:sz="4" w:space="0" w:color="auto"/>
              <w:right w:val="single" w:sz="8" w:space="0" w:color="auto"/>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1,74%</w:t>
            </w:r>
          </w:p>
        </w:tc>
      </w:tr>
      <w:tr w:rsidR="00E27B5E" w:rsidRPr="000A4D81" w:rsidTr="00E27B5E">
        <w:trPr>
          <w:trHeight w:val="255"/>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A3</w:t>
            </w:r>
          </w:p>
        </w:tc>
        <w:tc>
          <w:tcPr>
            <w:tcW w:w="3788" w:type="dxa"/>
            <w:tcBorders>
              <w:top w:val="nil"/>
              <w:left w:val="nil"/>
              <w:bottom w:val="single" w:sz="4" w:space="0" w:color="auto"/>
              <w:right w:val="single" w:sz="4" w:space="0" w:color="auto"/>
            </w:tcBorders>
            <w:shd w:val="clear" w:color="auto" w:fill="auto"/>
            <w:noWrap/>
            <w:vAlign w:val="center"/>
            <w:hideMark/>
          </w:tcPr>
          <w:p w:rsidR="00E27B5E" w:rsidRPr="000A4D81" w:rsidRDefault="00E27B5E" w:rsidP="00E27B5E">
            <w:pPr>
              <w:jc w:val="left"/>
              <w:rPr>
                <w:rFonts w:eastAsia="Times New Roman"/>
                <w:szCs w:val="20"/>
                <w:lang w:eastAsia="pt-BR"/>
              </w:rPr>
            </w:pPr>
            <w:r w:rsidRPr="000A4D81">
              <w:rPr>
                <w:rFonts w:eastAsia="Times New Roman"/>
                <w:szCs w:val="20"/>
                <w:lang w:eastAsia="pt-BR"/>
              </w:rPr>
              <w:t>Despesas Financeiras</w:t>
            </w:r>
          </w:p>
        </w:tc>
        <w:tc>
          <w:tcPr>
            <w:tcW w:w="1032" w:type="dxa"/>
            <w:tcBorders>
              <w:top w:val="nil"/>
              <w:left w:val="nil"/>
              <w:bottom w:val="single" w:sz="4" w:space="0" w:color="auto"/>
              <w:right w:val="single" w:sz="8" w:space="0" w:color="auto"/>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1,00%</w:t>
            </w:r>
          </w:p>
        </w:tc>
        <w:tc>
          <w:tcPr>
            <w:tcW w:w="425" w:type="dxa"/>
            <w:tcBorders>
              <w:top w:val="nil"/>
              <w:left w:val="nil"/>
              <w:bottom w:val="nil"/>
              <w:right w:val="nil"/>
            </w:tcBorders>
            <w:shd w:val="clear" w:color="auto" w:fill="auto"/>
            <w:noWrap/>
            <w:vAlign w:val="center"/>
            <w:hideMark/>
          </w:tcPr>
          <w:p w:rsidR="00E27B5E" w:rsidRPr="000A4D81" w:rsidRDefault="00E27B5E" w:rsidP="00E27B5E">
            <w:pPr>
              <w:jc w:val="center"/>
              <w:rPr>
                <w:rFonts w:eastAsia="Times New Roman"/>
                <w:szCs w:val="20"/>
                <w:lang w:eastAsia="pt-BR"/>
              </w:rPr>
            </w:pP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0,94%</w:t>
            </w:r>
          </w:p>
        </w:tc>
        <w:tc>
          <w:tcPr>
            <w:tcW w:w="198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0,99%</w:t>
            </w:r>
          </w:p>
        </w:tc>
        <w:tc>
          <w:tcPr>
            <w:tcW w:w="713" w:type="dxa"/>
            <w:tcBorders>
              <w:top w:val="nil"/>
              <w:left w:val="nil"/>
              <w:bottom w:val="single" w:sz="4" w:space="0" w:color="auto"/>
              <w:right w:val="single" w:sz="8" w:space="0" w:color="auto"/>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1,17%</w:t>
            </w:r>
          </w:p>
        </w:tc>
      </w:tr>
      <w:tr w:rsidR="00E27B5E" w:rsidRPr="000A4D81" w:rsidTr="00E27B5E">
        <w:trPr>
          <w:trHeight w:val="255"/>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A4</w:t>
            </w:r>
          </w:p>
        </w:tc>
        <w:tc>
          <w:tcPr>
            <w:tcW w:w="3788" w:type="dxa"/>
            <w:tcBorders>
              <w:top w:val="nil"/>
              <w:left w:val="nil"/>
              <w:bottom w:val="single" w:sz="4" w:space="0" w:color="auto"/>
              <w:right w:val="single" w:sz="4" w:space="0" w:color="auto"/>
            </w:tcBorders>
            <w:shd w:val="clear" w:color="auto" w:fill="auto"/>
            <w:noWrap/>
            <w:vAlign w:val="center"/>
            <w:hideMark/>
          </w:tcPr>
          <w:p w:rsidR="00E27B5E" w:rsidRPr="000A4D81" w:rsidRDefault="00E27B5E" w:rsidP="00E27B5E">
            <w:pPr>
              <w:jc w:val="left"/>
              <w:rPr>
                <w:rFonts w:eastAsia="Times New Roman"/>
                <w:szCs w:val="20"/>
                <w:lang w:eastAsia="pt-BR"/>
              </w:rPr>
            </w:pPr>
            <w:r w:rsidRPr="000A4D81">
              <w:rPr>
                <w:rFonts w:eastAsia="Times New Roman"/>
                <w:szCs w:val="20"/>
                <w:lang w:eastAsia="pt-BR"/>
              </w:rPr>
              <w:t>Administração Central</w:t>
            </w:r>
          </w:p>
        </w:tc>
        <w:tc>
          <w:tcPr>
            <w:tcW w:w="1032" w:type="dxa"/>
            <w:tcBorders>
              <w:top w:val="nil"/>
              <w:left w:val="nil"/>
              <w:bottom w:val="single" w:sz="4" w:space="0" w:color="auto"/>
              <w:right w:val="single" w:sz="8" w:space="0" w:color="auto"/>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3,50%</w:t>
            </w:r>
          </w:p>
        </w:tc>
        <w:tc>
          <w:tcPr>
            <w:tcW w:w="425" w:type="dxa"/>
            <w:tcBorders>
              <w:top w:val="nil"/>
              <w:left w:val="nil"/>
              <w:bottom w:val="nil"/>
              <w:right w:val="nil"/>
            </w:tcBorders>
            <w:shd w:val="clear" w:color="auto" w:fill="auto"/>
            <w:noWrap/>
            <w:vAlign w:val="center"/>
            <w:hideMark/>
          </w:tcPr>
          <w:p w:rsidR="00E27B5E" w:rsidRPr="000A4D81" w:rsidRDefault="00E27B5E" w:rsidP="00E27B5E">
            <w:pPr>
              <w:jc w:val="center"/>
              <w:rPr>
                <w:rFonts w:eastAsia="Times New Roman"/>
                <w:szCs w:val="20"/>
                <w:lang w:eastAsia="pt-BR"/>
              </w:rPr>
            </w:pP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3,43%</w:t>
            </w:r>
          </w:p>
        </w:tc>
        <w:tc>
          <w:tcPr>
            <w:tcW w:w="198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4,93%</w:t>
            </w:r>
          </w:p>
        </w:tc>
        <w:tc>
          <w:tcPr>
            <w:tcW w:w="713" w:type="dxa"/>
            <w:tcBorders>
              <w:top w:val="nil"/>
              <w:left w:val="nil"/>
              <w:bottom w:val="single" w:sz="4" w:space="0" w:color="auto"/>
              <w:right w:val="single" w:sz="8" w:space="0" w:color="auto"/>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6,71%</w:t>
            </w:r>
          </w:p>
        </w:tc>
      </w:tr>
      <w:tr w:rsidR="00E27B5E" w:rsidRPr="000A4D81" w:rsidTr="00E27B5E">
        <w:trPr>
          <w:trHeight w:val="270"/>
        </w:trPr>
        <w:tc>
          <w:tcPr>
            <w:tcW w:w="4567"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rsidR="00E27B5E" w:rsidRPr="000A4D81" w:rsidRDefault="00E27B5E" w:rsidP="00E27B5E">
            <w:pPr>
              <w:jc w:val="right"/>
              <w:rPr>
                <w:rFonts w:eastAsia="Times New Roman"/>
                <w:b/>
                <w:bCs/>
                <w:szCs w:val="20"/>
                <w:lang w:eastAsia="pt-BR"/>
              </w:rPr>
            </w:pPr>
            <w:r w:rsidRPr="000A4D81">
              <w:rPr>
                <w:rFonts w:eastAsia="Times New Roman"/>
                <w:b/>
                <w:bCs/>
                <w:szCs w:val="20"/>
                <w:lang w:eastAsia="pt-BR"/>
              </w:rPr>
              <w:t>Total do Grupo A =</w:t>
            </w:r>
          </w:p>
        </w:tc>
        <w:tc>
          <w:tcPr>
            <w:tcW w:w="1032" w:type="dxa"/>
            <w:tcBorders>
              <w:top w:val="nil"/>
              <w:left w:val="nil"/>
              <w:bottom w:val="single" w:sz="8" w:space="0" w:color="auto"/>
              <w:right w:val="single" w:sz="8" w:space="0" w:color="auto"/>
            </w:tcBorders>
            <w:shd w:val="clear" w:color="auto" w:fill="auto"/>
            <w:noWrap/>
            <w:vAlign w:val="center"/>
            <w:hideMark/>
          </w:tcPr>
          <w:p w:rsidR="00E27B5E" w:rsidRPr="000A4D81" w:rsidRDefault="00E27B5E" w:rsidP="00E27B5E">
            <w:pPr>
              <w:jc w:val="center"/>
              <w:rPr>
                <w:rFonts w:eastAsia="Times New Roman"/>
                <w:b/>
                <w:bCs/>
                <w:szCs w:val="20"/>
                <w:lang w:eastAsia="pt-BR"/>
              </w:rPr>
            </w:pPr>
            <w:r w:rsidRPr="000A4D81">
              <w:rPr>
                <w:rFonts w:eastAsia="Times New Roman"/>
                <w:b/>
                <w:bCs/>
                <w:szCs w:val="20"/>
                <w:lang w:eastAsia="pt-BR"/>
              </w:rPr>
              <w:t>5,80%</w:t>
            </w:r>
          </w:p>
        </w:tc>
        <w:tc>
          <w:tcPr>
            <w:tcW w:w="425" w:type="dxa"/>
            <w:tcBorders>
              <w:top w:val="nil"/>
              <w:left w:val="nil"/>
              <w:bottom w:val="nil"/>
              <w:right w:val="nil"/>
            </w:tcBorders>
            <w:shd w:val="clear" w:color="auto" w:fill="auto"/>
            <w:noWrap/>
            <w:vAlign w:val="center"/>
            <w:hideMark/>
          </w:tcPr>
          <w:p w:rsidR="00E27B5E" w:rsidRPr="000A4D81" w:rsidRDefault="00E27B5E" w:rsidP="00E27B5E">
            <w:pPr>
              <w:jc w:val="center"/>
              <w:rPr>
                <w:rFonts w:eastAsia="Times New Roman"/>
                <w:b/>
                <w:bCs/>
                <w:szCs w:val="20"/>
                <w:lang w:eastAsia="pt-BR"/>
              </w:rPr>
            </w:pPr>
          </w:p>
        </w:tc>
        <w:tc>
          <w:tcPr>
            <w:tcW w:w="1134" w:type="dxa"/>
            <w:tcBorders>
              <w:top w:val="nil"/>
              <w:left w:val="single" w:sz="8" w:space="0" w:color="auto"/>
              <w:bottom w:val="single" w:sz="8" w:space="0" w:color="auto"/>
              <w:right w:val="single" w:sz="4" w:space="0" w:color="auto"/>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 </w:t>
            </w:r>
          </w:p>
        </w:tc>
        <w:tc>
          <w:tcPr>
            <w:tcW w:w="1980" w:type="dxa"/>
            <w:gridSpan w:val="2"/>
            <w:tcBorders>
              <w:top w:val="single" w:sz="4" w:space="0" w:color="auto"/>
              <w:left w:val="nil"/>
              <w:bottom w:val="single" w:sz="8" w:space="0" w:color="auto"/>
              <w:right w:val="single" w:sz="4" w:space="0" w:color="000000"/>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 </w:t>
            </w:r>
          </w:p>
        </w:tc>
        <w:tc>
          <w:tcPr>
            <w:tcW w:w="713" w:type="dxa"/>
            <w:tcBorders>
              <w:top w:val="nil"/>
              <w:left w:val="nil"/>
              <w:bottom w:val="single" w:sz="8" w:space="0" w:color="auto"/>
              <w:right w:val="single" w:sz="8" w:space="0" w:color="auto"/>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 </w:t>
            </w:r>
          </w:p>
        </w:tc>
      </w:tr>
      <w:tr w:rsidR="00E27B5E" w:rsidRPr="000A4D81" w:rsidTr="00E27B5E">
        <w:trPr>
          <w:trHeight w:val="270"/>
        </w:trPr>
        <w:tc>
          <w:tcPr>
            <w:tcW w:w="5599" w:type="dxa"/>
            <w:gridSpan w:val="3"/>
            <w:tcBorders>
              <w:top w:val="nil"/>
              <w:left w:val="single" w:sz="8" w:space="0" w:color="auto"/>
              <w:bottom w:val="nil"/>
              <w:right w:val="nil"/>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 </w:t>
            </w:r>
          </w:p>
        </w:tc>
        <w:tc>
          <w:tcPr>
            <w:tcW w:w="425" w:type="dxa"/>
            <w:tcBorders>
              <w:top w:val="nil"/>
              <w:left w:val="nil"/>
              <w:bottom w:val="nil"/>
              <w:right w:val="nil"/>
            </w:tcBorders>
            <w:shd w:val="clear" w:color="auto" w:fill="auto"/>
            <w:noWrap/>
            <w:vAlign w:val="center"/>
            <w:hideMark/>
          </w:tcPr>
          <w:p w:rsidR="00E27B5E" w:rsidRPr="000A4D81" w:rsidRDefault="00E27B5E" w:rsidP="00E27B5E">
            <w:pPr>
              <w:jc w:val="center"/>
              <w:rPr>
                <w:rFonts w:eastAsia="Times New Roman"/>
                <w:szCs w:val="20"/>
                <w:lang w:eastAsia="pt-BR"/>
              </w:rPr>
            </w:pPr>
          </w:p>
        </w:tc>
        <w:tc>
          <w:tcPr>
            <w:tcW w:w="1134" w:type="dxa"/>
            <w:tcBorders>
              <w:top w:val="nil"/>
              <w:left w:val="nil"/>
              <w:bottom w:val="nil"/>
              <w:right w:val="nil"/>
            </w:tcBorders>
            <w:shd w:val="clear" w:color="auto" w:fill="auto"/>
            <w:noWrap/>
            <w:vAlign w:val="center"/>
            <w:hideMark/>
          </w:tcPr>
          <w:p w:rsidR="00E27B5E" w:rsidRPr="000A4D81" w:rsidRDefault="00E27B5E" w:rsidP="00E27B5E">
            <w:pPr>
              <w:jc w:val="center"/>
              <w:rPr>
                <w:rFonts w:eastAsia="Times New Roman"/>
                <w:szCs w:val="20"/>
                <w:lang w:eastAsia="pt-BR"/>
              </w:rPr>
            </w:pPr>
          </w:p>
        </w:tc>
        <w:tc>
          <w:tcPr>
            <w:tcW w:w="960" w:type="dxa"/>
            <w:tcBorders>
              <w:top w:val="nil"/>
              <w:left w:val="nil"/>
              <w:bottom w:val="nil"/>
              <w:right w:val="nil"/>
            </w:tcBorders>
            <w:shd w:val="clear" w:color="auto" w:fill="auto"/>
            <w:noWrap/>
            <w:vAlign w:val="center"/>
            <w:hideMark/>
          </w:tcPr>
          <w:p w:rsidR="00E27B5E" w:rsidRPr="000A4D81" w:rsidRDefault="00E27B5E" w:rsidP="00E27B5E">
            <w:pPr>
              <w:jc w:val="center"/>
              <w:rPr>
                <w:rFonts w:eastAsia="Times New Roman"/>
                <w:szCs w:val="20"/>
                <w:lang w:eastAsia="pt-BR"/>
              </w:rPr>
            </w:pPr>
          </w:p>
        </w:tc>
        <w:tc>
          <w:tcPr>
            <w:tcW w:w="1020" w:type="dxa"/>
            <w:tcBorders>
              <w:top w:val="nil"/>
              <w:left w:val="nil"/>
              <w:bottom w:val="nil"/>
              <w:right w:val="nil"/>
            </w:tcBorders>
            <w:shd w:val="clear" w:color="auto" w:fill="auto"/>
            <w:noWrap/>
            <w:vAlign w:val="center"/>
            <w:hideMark/>
          </w:tcPr>
          <w:p w:rsidR="00E27B5E" w:rsidRPr="000A4D81" w:rsidRDefault="00E27B5E" w:rsidP="00E27B5E">
            <w:pPr>
              <w:jc w:val="center"/>
              <w:rPr>
                <w:rFonts w:eastAsia="Times New Roman"/>
                <w:szCs w:val="20"/>
                <w:lang w:eastAsia="pt-BR"/>
              </w:rPr>
            </w:pPr>
          </w:p>
        </w:tc>
        <w:tc>
          <w:tcPr>
            <w:tcW w:w="713" w:type="dxa"/>
            <w:tcBorders>
              <w:top w:val="nil"/>
              <w:left w:val="nil"/>
              <w:bottom w:val="nil"/>
              <w:right w:val="single" w:sz="8" w:space="0" w:color="auto"/>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 </w:t>
            </w:r>
          </w:p>
        </w:tc>
      </w:tr>
      <w:tr w:rsidR="00E27B5E" w:rsidRPr="000A4D81" w:rsidTr="00E27B5E">
        <w:trPr>
          <w:trHeight w:val="255"/>
        </w:trPr>
        <w:tc>
          <w:tcPr>
            <w:tcW w:w="779"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27B5E" w:rsidRPr="000A4D81" w:rsidRDefault="00E27B5E" w:rsidP="00E27B5E">
            <w:pPr>
              <w:jc w:val="center"/>
              <w:rPr>
                <w:rFonts w:eastAsia="Times New Roman"/>
                <w:b/>
                <w:bCs/>
                <w:szCs w:val="20"/>
                <w:lang w:eastAsia="pt-BR"/>
              </w:rPr>
            </w:pPr>
            <w:r w:rsidRPr="000A4D81">
              <w:rPr>
                <w:rFonts w:eastAsia="Times New Roman"/>
                <w:b/>
                <w:bCs/>
                <w:szCs w:val="20"/>
                <w:lang w:eastAsia="pt-BR"/>
              </w:rPr>
              <w:t xml:space="preserve"> 2.00 </w:t>
            </w:r>
          </w:p>
        </w:tc>
        <w:tc>
          <w:tcPr>
            <w:tcW w:w="4820" w:type="dxa"/>
            <w:gridSpan w:val="2"/>
            <w:tcBorders>
              <w:top w:val="single" w:sz="8" w:space="0" w:color="auto"/>
              <w:left w:val="nil"/>
              <w:bottom w:val="single" w:sz="4" w:space="0" w:color="auto"/>
              <w:right w:val="single" w:sz="8" w:space="0" w:color="000000"/>
            </w:tcBorders>
            <w:shd w:val="clear" w:color="auto" w:fill="auto"/>
            <w:vAlign w:val="center"/>
            <w:hideMark/>
          </w:tcPr>
          <w:p w:rsidR="00E27B5E" w:rsidRPr="000A4D81" w:rsidRDefault="00E27B5E" w:rsidP="00E27B5E">
            <w:pPr>
              <w:rPr>
                <w:rFonts w:eastAsia="Times New Roman"/>
                <w:b/>
                <w:bCs/>
                <w:szCs w:val="20"/>
                <w:lang w:eastAsia="pt-BR"/>
              </w:rPr>
            </w:pPr>
            <w:r w:rsidRPr="000A4D81">
              <w:rPr>
                <w:rFonts w:eastAsia="Times New Roman"/>
                <w:b/>
                <w:bCs/>
                <w:szCs w:val="20"/>
                <w:lang w:eastAsia="pt-BR"/>
              </w:rPr>
              <w:t>Benefício</w:t>
            </w:r>
          </w:p>
        </w:tc>
        <w:tc>
          <w:tcPr>
            <w:tcW w:w="425" w:type="dxa"/>
            <w:tcBorders>
              <w:top w:val="nil"/>
              <w:left w:val="nil"/>
              <w:bottom w:val="nil"/>
              <w:right w:val="nil"/>
            </w:tcBorders>
            <w:shd w:val="clear" w:color="auto" w:fill="auto"/>
            <w:vAlign w:val="center"/>
            <w:hideMark/>
          </w:tcPr>
          <w:p w:rsidR="00E27B5E" w:rsidRPr="000A4D81" w:rsidRDefault="00E27B5E" w:rsidP="00E27B5E">
            <w:pPr>
              <w:rPr>
                <w:rFonts w:eastAsia="Times New Roman"/>
                <w:b/>
                <w:bCs/>
                <w:szCs w:val="20"/>
                <w:lang w:eastAsia="pt-BR"/>
              </w:rPr>
            </w:pPr>
          </w:p>
        </w:tc>
        <w:tc>
          <w:tcPr>
            <w:tcW w:w="1134"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 </w:t>
            </w:r>
          </w:p>
        </w:tc>
        <w:tc>
          <w:tcPr>
            <w:tcW w:w="1980" w:type="dxa"/>
            <w:gridSpan w:val="2"/>
            <w:tcBorders>
              <w:top w:val="single" w:sz="8" w:space="0" w:color="auto"/>
              <w:left w:val="nil"/>
              <w:bottom w:val="single" w:sz="4" w:space="0" w:color="auto"/>
              <w:right w:val="single" w:sz="4" w:space="0" w:color="000000"/>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 </w:t>
            </w:r>
          </w:p>
        </w:tc>
        <w:tc>
          <w:tcPr>
            <w:tcW w:w="713" w:type="dxa"/>
            <w:tcBorders>
              <w:top w:val="single" w:sz="8" w:space="0" w:color="auto"/>
              <w:left w:val="nil"/>
              <w:bottom w:val="single" w:sz="4" w:space="0" w:color="auto"/>
              <w:right w:val="single" w:sz="8" w:space="0" w:color="auto"/>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 </w:t>
            </w:r>
          </w:p>
        </w:tc>
      </w:tr>
      <w:tr w:rsidR="00E27B5E" w:rsidRPr="000A4D81" w:rsidTr="00E27B5E">
        <w:trPr>
          <w:trHeight w:val="255"/>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B-1</w:t>
            </w:r>
          </w:p>
        </w:tc>
        <w:tc>
          <w:tcPr>
            <w:tcW w:w="3788" w:type="dxa"/>
            <w:tcBorders>
              <w:top w:val="nil"/>
              <w:left w:val="nil"/>
              <w:bottom w:val="single" w:sz="4" w:space="0" w:color="auto"/>
              <w:right w:val="single" w:sz="4" w:space="0" w:color="auto"/>
            </w:tcBorders>
            <w:shd w:val="clear" w:color="auto" w:fill="auto"/>
            <w:noWrap/>
            <w:vAlign w:val="center"/>
            <w:hideMark/>
          </w:tcPr>
          <w:p w:rsidR="00E27B5E" w:rsidRPr="000A4D81" w:rsidRDefault="00E27B5E" w:rsidP="00E27B5E">
            <w:pPr>
              <w:jc w:val="left"/>
              <w:rPr>
                <w:rFonts w:eastAsia="Times New Roman"/>
                <w:szCs w:val="20"/>
                <w:lang w:eastAsia="pt-BR"/>
              </w:rPr>
            </w:pPr>
            <w:r w:rsidRPr="000A4D81">
              <w:rPr>
                <w:rFonts w:eastAsia="Times New Roman"/>
                <w:szCs w:val="20"/>
                <w:lang w:eastAsia="pt-BR"/>
              </w:rPr>
              <w:t>LUCRO</w:t>
            </w:r>
          </w:p>
        </w:tc>
        <w:tc>
          <w:tcPr>
            <w:tcW w:w="1032" w:type="dxa"/>
            <w:tcBorders>
              <w:top w:val="nil"/>
              <w:left w:val="nil"/>
              <w:bottom w:val="single" w:sz="4" w:space="0" w:color="auto"/>
              <w:right w:val="single" w:sz="8" w:space="0" w:color="auto"/>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6,80%</w:t>
            </w:r>
          </w:p>
        </w:tc>
        <w:tc>
          <w:tcPr>
            <w:tcW w:w="425" w:type="dxa"/>
            <w:tcBorders>
              <w:top w:val="nil"/>
              <w:left w:val="nil"/>
              <w:bottom w:val="nil"/>
              <w:right w:val="nil"/>
            </w:tcBorders>
            <w:shd w:val="clear" w:color="auto" w:fill="auto"/>
            <w:noWrap/>
            <w:vAlign w:val="center"/>
            <w:hideMark/>
          </w:tcPr>
          <w:p w:rsidR="00E27B5E" w:rsidRPr="000A4D81" w:rsidRDefault="00E27B5E" w:rsidP="00E27B5E">
            <w:pPr>
              <w:jc w:val="center"/>
              <w:rPr>
                <w:rFonts w:eastAsia="Times New Roman"/>
                <w:szCs w:val="20"/>
                <w:lang w:eastAsia="pt-BR"/>
              </w:rPr>
            </w:pP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6,74%</w:t>
            </w:r>
          </w:p>
        </w:tc>
        <w:tc>
          <w:tcPr>
            <w:tcW w:w="198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8,04%</w:t>
            </w:r>
          </w:p>
        </w:tc>
        <w:tc>
          <w:tcPr>
            <w:tcW w:w="713" w:type="dxa"/>
            <w:tcBorders>
              <w:top w:val="nil"/>
              <w:left w:val="nil"/>
              <w:bottom w:val="single" w:sz="4" w:space="0" w:color="auto"/>
              <w:right w:val="single" w:sz="8" w:space="0" w:color="auto"/>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9,40%</w:t>
            </w:r>
          </w:p>
        </w:tc>
      </w:tr>
      <w:tr w:rsidR="00E27B5E" w:rsidRPr="000A4D81" w:rsidTr="00E27B5E">
        <w:trPr>
          <w:trHeight w:val="270"/>
        </w:trPr>
        <w:tc>
          <w:tcPr>
            <w:tcW w:w="4567"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rsidR="00E27B5E" w:rsidRPr="000A4D81" w:rsidRDefault="00E27B5E" w:rsidP="00E27B5E">
            <w:pPr>
              <w:jc w:val="right"/>
              <w:rPr>
                <w:rFonts w:eastAsia="Times New Roman"/>
                <w:b/>
                <w:bCs/>
                <w:szCs w:val="20"/>
                <w:lang w:eastAsia="pt-BR"/>
              </w:rPr>
            </w:pPr>
            <w:r w:rsidRPr="000A4D81">
              <w:rPr>
                <w:rFonts w:eastAsia="Times New Roman"/>
                <w:b/>
                <w:bCs/>
                <w:szCs w:val="20"/>
                <w:lang w:eastAsia="pt-BR"/>
              </w:rPr>
              <w:t>Total do Grupo B =</w:t>
            </w:r>
          </w:p>
        </w:tc>
        <w:tc>
          <w:tcPr>
            <w:tcW w:w="1032" w:type="dxa"/>
            <w:tcBorders>
              <w:top w:val="nil"/>
              <w:left w:val="nil"/>
              <w:bottom w:val="single" w:sz="8" w:space="0" w:color="auto"/>
              <w:right w:val="single" w:sz="8" w:space="0" w:color="auto"/>
            </w:tcBorders>
            <w:shd w:val="clear" w:color="auto" w:fill="auto"/>
            <w:noWrap/>
            <w:vAlign w:val="center"/>
            <w:hideMark/>
          </w:tcPr>
          <w:p w:rsidR="00E27B5E" w:rsidRPr="000A4D81" w:rsidRDefault="00E27B5E" w:rsidP="00E27B5E">
            <w:pPr>
              <w:jc w:val="center"/>
              <w:rPr>
                <w:rFonts w:eastAsia="Times New Roman"/>
                <w:b/>
                <w:bCs/>
                <w:szCs w:val="20"/>
                <w:lang w:eastAsia="pt-BR"/>
              </w:rPr>
            </w:pPr>
            <w:r w:rsidRPr="000A4D81">
              <w:rPr>
                <w:rFonts w:eastAsia="Times New Roman"/>
                <w:b/>
                <w:bCs/>
                <w:szCs w:val="20"/>
                <w:lang w:eastAsia="pt-BR"/>
              </w:rPr>
              <w:t>6,80%</w:t>
            </w:r>
          </w:p>
        </w:tc>
        <w:tc>
          <w:tcPr>
            <w:tcW w:w="425" w:type="dxa"/>
            <w:tcBorders>
              <w:top w:val="nil"/>
              <w:left w:val="nil"/>
              <w:bottom w:val="nil"/>
              <w:right w:val="nil"/>
            </w:tcBorders>
            <w:shd w:val="clear" w:color="auto" w:fill="auto"/>
            <w:noWrap/>
            <w:vAlign w:val="center"/>
            <w:hideMark/>
          </w:tcPr>
          <w:p w:rsidR="00E27B5E" w:rsidRPr="000A4D81" w:rsidRDefault="00E27B5E" w:rsidP="00E27B5E">
            <w:pPr>
              <w:jc w:val="center"/>
              <w:rPr>
                <w:rFonts w:eastAsia="Times New Roman"/>
                <w:b/>
                <w:bCs/>
                <w:szCs w:val="20"/>
                <w:lang w:eastAsia="pt-BR"/>
              </w:rPr>
            </w:pPr>
          </w:p>
        </w:tc>
        <w:tc>
          <w:tcPr>
            <w:tcW w:w="1134" w:type="dxa"/>
            <w:tcBorders>
              <w:top w:val="nil"/>
              <w:left w:val="single" w:sz="8" w:space="0" w:color="auto"/>
              <w:bottom w:val="single" w:sz="8" w:space="0" w:color="auto"/>
              <w:right w:val="single" w:sz="4" w:space="0" w:color="auto"/>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 </w:t>
            </w:r>
          </w:p>
        </w:tc>
        <w:tc>
          <w:tcPr>
            <w:tcW w:w="1980" w:type="dxa"/>
            <w:gridSpan w:val="2"/>
            <w:tcBorders>
              <w:top w:val="single" w:sz="4" w:space="0" w:color="auto"/>
              <w:left w:val="nil"/>
              <w:bottom w:val="single" w:sz="8" w:space="0" w:color="auto"/>
              <w:right w:val="single" w:sz="4" w:space="0" w:color="000000"/>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 </w:t>
            </w:r>
          </w:p>
        </w:tc>
        <w:tc>
          <w:tcPr>
            <w:tcW w:w="713" w:type="dxa"/>
            <w:tcBorders>
              <w:top w:val="nil"/>
              <w:left w:val="nil"/>
              <w:bottom w:val="single" w:sz="8" w:space="0" w:color="auto"/>
              <w:right w:val="single" w:sz="8" w:space="0" w:color="auto"/>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 </w:t>
            </w:r>
          </w:p>
        </w:tc>
      </w:tr>
      <w:tr w:rsidR="00E27B5E" w:rsidRPr="000A4D81" w:rsidTr="00E27B5E">
        <w:trPr>
          <w:trHeight w:val="270"/>
        </w:trPr>
        <w:tc>
          <w:tcPr>
            <w:tcW w:w="5599" w:type="dxa"/>
            <w:gridSpan w:val="3"/>
            <w:tcBorders>
              <w:top w:val="nil"/>
              <w:left w:val="single" w:sz="8" w:space="0" w:color="auto"/>
              <w:bottom w:val="nil"/>
              <w:right w:val="nil"/>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 </w:t>
            </w:r>
          </w:p>
        </w:tc>
        <w:tc>
          <w:tcPr>
            <w:tcW w:w="425" w:type="dxa"/>
            <w:tcBorders>
              <w:top w:val="nil"/>
              <w:left w:val="nil"/>
              <w:bottom w:val="nil"/>
              <w:right w:val="nil"/>
            </w:tcBorders>
            <w:shd w:val="clear" w:color="auto" w:fill="auto"/>
            <w:noWrap/>
            <w:vAlign w:val="center"/>
            <w:hideMark/>
          </w:tcPr>
          <w:p w:rsidR="00E27B5E" w:rsidRPr="000A4D81" w:rsidRDefault="00E27B5E" w:rsidP="00E27B5E">
            <w:pPr>
              <w:jc w:val="center"/>
              <w:rPr>
                <w:rFonts w:eastAsia="Times New Roman"/>
                <w:szCs w:val="20"/>
                <w:lang w:eastAsia="pt-BR"/>
              </w:rPr>
            </w:pPr>
          </w:p>
        </w:tc>
        <w:tc>
          <w:tcPr>
            <w:tcW w:w="1134" w:type="dxa"/>
            <w:tcBorders>
              <w:top w:val="nil"/>
              <w:left w:val="nil"/>
              <w:bottom w:val="nil"/>
              <w:right w:val="nil"/>
            </w:tcBorders>
            <w:shd w:val="clear" w:color="auto" w:fill="auto"/>
            <w:noWrap/>
            <w:vAlign w:val="center"/>
            <w:hideMark/>
          </w:tcPr>
          <w:p w:rsidR="00E27B5E" w:rsidRPr="000A4D81" w:rsidRDefault="00E27B5E" w:rsidP="00E27B5E">
            <w:pPr>
              <w:jc w:val="center"/>
              <w:rPr>
                <w:rFonts w:eastAsia="Times New Roman"/>
                <w:szCs w:val="20"/>
                <w:lang w:eastAsia="pt-BR"/>
              </w:rPr>
            </w:pPr>
          </w:p>
        </w:tc>
        <w:tc>
          <w:tcPr>
            <w:tcW w:w="960" w:type="dxa"/>
            <w:tcBorders>
              <w:top w:val="nil"/>
              <w:left w:val="nil"/>
              <w:bottom w:val="nil"/>
              <w:right w:val="nil"/>
            </w:tcBorders>
            <w:shd w:val="clear" w:color="auto" w:fill="auto"/>
            <w:noWrap/>
            <w:vAlign w:val="center"/>
            <w:hideMark/>
          </w:tcPr>
          <w:p w:rsidR="00E27B5E" w:rsidRPr="000A4D81" w:rsidRDefault="00E27B5E" w:rsidP="00E27B5E">
            <w:pPr>
              <w:jc w:val="center"/>
              <w:rPr>
                <w:rFonts w:eastAsia="Times New Roman"/>
                <w:szCs w:val="20"/>
                <w:lang w:eastAsia="pt-BR"/>
              </w:rPr>
            </w:pPr>
          </w:p>
        </w:tc>
        <w:tc>
          <w:tcPr>
            <w:tcW w:w="1020" w:type="dxa"/>
            <w:tcBorders>
              <w:top w:val="nil"/>
              <w:left w:val="nil"/>
              <w:bottom w:val="nil"/>
              <w:right w:val="nil"/>
            </w:tcBorders>
            <w:shd w:val="clear" w:color="auto" w:fill="auto"/>
            <w:noWrap/>
            <w:vAlign w:val="center"/>
            <w:hideMark/>
          </w:tcPr>
          <w:p w:rsidR="00E27B5E" w:rsidRPr="000A4D81" w:rsidRDefault="00E27B5E" w:rsidP="00E27B5E">
            <w:pPr>
              <w:jc w:val="center"/>
              <w:rPr>
                <w:rFonts w:eastAsia="Times New Roman"/>
                <w:szCs w:val="20"/>
                <w:lang w:eastAsia="pt-BR"/>
              </w:rPr>
            </w:pPr>
          </w:p>
        </w:tc>
        <w:tc>
          <w:tcPr>
            <w:tcW w:w="713" w:type="dxa"/>
            <w:tcBorders>
              <w:top w:val="nil"/>
              <w:left w:val="nil"/>
              <w:bottom w:val="nil"/>
              <w:right w:val="single" w:sz="8" w:space="0" w:color="auto"/>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 </w:t>
            </w:r>
          </w:p>
        </w:tc>
      </w:tr>
      <w:tr w:rsidR="00E27B5E" w:rsidRPr="000A4D81" w:rsidTr="00E27B5E">
        <w:trPr>
          <w:trHeight w:val="255"/>
        </w:trPr>
        <w:tc>
          <w:tcPr>
            <w:tcW w:w="779"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27B5E" w:rsidRPr="000A4D81" w:rsidRDefault="00E27B5E" w:rsidP="00E27B5E">
            <w:pPr>
              <w:jc w:val="center"/>
              <w:rPr>
                <w:rFonts w:eastAsia="Times New Roman"/>
                <w:b/>
                <w:bCs/>
                <w:szCs w:val="20"/>
                <w:lang w:eastAsia="pt-BR"/>
              </w:rPr>
            </w:pPr>
            <w:r w:rsidRPr="000A4D81">
              <w:rPr>
                <w:rFonts w:eastAsia="Times New Roman"/>
                <w:b/>
                <w:bCs/>
                <w:szCs w:val="20"/>
                <w:lang w:eastAsia="pt-BR"/>
              </w:rPr>
              <w:t xml:space="preserve"> 3.00 </w:t>
            </w:r>
          </w:p>
        </w:tc>
        <w:tc>
          <w:tcPr>
            <w:tcW w:w="4820" w:type="dxa"/>
            <w:gridSpan w:val="2"/>
            <w:tcBorders>
              <w:top w:val="single" w:sz="8" w:space="0" w:color="auto"/>
              <w:left w:val="nil"/>
              <w:bottom w:val="single" w:sz="4" w:space="0" w:color="auto"/>
              <w:right w:val="single" w:sz="8" w:space="0" w:color="000000"/>
            </w:tcBorders>
            <w:shd w:val="clear" w:color="auto" w:fill="auto"/>
            <w:vAlign w:val="center"/>
            <w:hideMark/>
          </w:tcPr>
          <w:p w:rsidR="00E27B5E" w:rsidRPr="000A4D81" w:rsidRDefault="00E27B5E" w:rsidP="00E27B5E">
            <w:pPr>
              <w:rPr>
                <w:rFonts w:eastAsia="Times New Roman"/>
                <w:b/>
                <w:bCs/>
                <w:szCs w:val="20"/>
                <w:lang w:eastAsia="pt-BR"/>
              </w:rPr>
            </w:pPr>
            <w:r w:rsidRPr="000A4D81">
              <w:rPr>
                <w:rFonts w:eastAsia="Times New Roman"/>
                <w:b/>
                <w:bCs/>
                <w:szCs w:val="20"/>
                <w:lang w:eastAsia="pt-BR"/>
              </w:rPr>
              <w:t>Impostos</w:t>
            </w:r>
          </w:p>
        </w:tc>
        <w:tc>
          <w:tcPr>
            <w:tcW w:w="425" w:type="dxa"/>
            <w:tcBorders>
              <w:top w:val="nil"/>
              <w:left w:val="nil"/>
              <w:bottom w:val="nil"/>
              <w:right w:val="nil"/>
            </w:tcBorders>
            <w:shd w:val="clear" w:color="auto" w:fill="auto"/>
            <w:vAlign w:val="center"/>
            <w:hideMark/>
          </w:tcPr>
          <w:p w:rsidR="00E27B5E" w:rsidRPr="000A4D81" w:rsidRDefault="00E27B5E" w:rsidP="00E27B5E">
            <w:pPr>
              <w:rPr>
                <w:rFonts w:eastAsia="Times New Roman"/>
                <w:b/>
                <w:bCs/>
                <w:szCs w:val="20"/>
                <w:lang w:eastAsia="pt-BR"/>
              </w:rPr>
            </w:pPr>
          </w:p>
        </w:tc>
        <w:tc>
          <w:tcPr>
            <w:tcW w:w="3827" w:type="dxa"/>
            <w:gridSpan w:val="4"/>
            <w:tcBorders>
              <w:top w:val="single" w:sz="8" w:space="0" w:color="auto"/>
              <w:left w:val="single" w:sz="8" w:space="0" w:color="auto"/>
              <w:bottom w:val="nil"/>
              <w:right w:val="single" w:sz="8" w:space="0" w:color="000000"/>
            </w:tcBorders>
            <w:shd w:val="clear" w:color="000000" w:fill="D7E4BC"/>
            <w:vAlign w:val="center"/>
            <w:hideMark/>
          </w:tcPr>
          <w:p w:rsidR="00E27B5E" w:rsidRPr="000A4D81" w:rsidRDefault="00E27B5E" w:rsidP="00E27B5E">
            <w:pPr>
              <w:jc w:val="center"/>
              <w:rPr>
                <w:rFonts w:eastAsia="Times New Roman"/>
                <w:b/>
                <w:bCs/>
                <w:sz w:val="18"/>
                <w:szCs w:val="18"/>
                <w:lang w:eastAsia="pt-BR"/>
              </w:rPr>
            </w:pPr>
            <w:r w:rsidRPr="000A4D81">
              <w:rPr>
                <w:rFonts w:eastAsia="Times New Roman"/>
                <w:b/>
                <w:bCs/>
                <w:sz w:val="18"/>
                <w:szCs w:val="18"/>
                <w:lang w:eastAsia="pt-BR"/>
              </w:rPr>
              <w:t>CÁLCULO DO ISS</w:t>
            </w:r>
          </w:p>
        </w:tc>
      </w:tr>
      <w:tr w:rsidR="00E27B5E" w:rsidRPr="000A4D81" w:rsidTr="00E27B5E">
        <w:trPr>
          <w:trHeight w:val="255"/>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C-1</w:t>
            </w:r>
          </w:p>
        </w:tc>
        <w:tc>
          <w:tcPr>
            <w:tcW w:w="3788" w:type="dxa"/>
            <w:tcBorders>
              <w:top w:val="nil"/>
              <w:left w:val="nil"/>
              <w:bottom w:val="single" w:sz="4" w:space="0" w:color="auto"/>
              <w:right w:val="single" w:sz="4" w:space="0" w:color="auto"/>
            </w:tcBorders>
            <w:shd w:val="clear" w:color="auto" w:fill="auto"/>
            <w:noWrap/>
            <w:vAlign w:val="center"/>
            <w:hideMark/>
          </w:tcPr>
          <w:p w:rsidR="00E27B5E" w:rsidRPr="000A4D81" w:rsidRDefault="00E27B5E" w:rsidP="00E27B5E">
            <w:pPr>
              <w:jc w:val="left"/>
              <w:rPr>
                <w:rFonts w:eastAsia="Times New Roman"/>
                <w:szCs w:val="20"/>
                <w:lang w:eastAsia="pt-BR"/>
              </w:rPr>
            </w:pPr>
            <w:r w:rsidRPr="000A4D81">
              <w:rPr>
                <w:rFonts w:eastAsia="Times New Roman"/>
                <w:szCs w:val="20"/>
                <w:lang w:eastAsia="pt-BR"/>
              </w:rPr>
              <w:t>PIS / PASEP</w:t>
            </w:r>
          </w:p>
        </w:tc>
        <w:tc>
          <w:tcPr>
            <w:tcW w:w="1032" w:type="dxa"/>
            <w:tcBorders>
              <w:top w:val="nil"/>
              <w:left w:val="nil"/>
              <w:bottom w:val="single" w:sz="4" w:space="0" w:color="auto"/>
              <w:right w:val="single" w:sz="8" w:space="0" w:color="auto"/>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0,65%</w:t>
            </w:r>
          </w:p>
        </w:tc>
        <w:tc>
          <w:tcPr>
            <w:tcW w:w="425" w:type="dxa"/>
            <w:tcBorders>
              <w:top w:val="nil"/>
              <w:left w:val="nil"/>
              <w:bottom w:val="nil"/>
              <w:right w:val="nil"/>
            </w:tcBorders>
            <w:shd w:val="clear" w:color="auto" w:fill="auto"/>
            <w:noWrap/>
            <w:vAlign w:val="center"/>
            <w:hideMark/>
          </w:tcPr>
          <w:p w:rsidR="00E27B5E" w:rsidRPr="000A4D81" w:rsidRDefault="00E27B5E" w:rsidP="00E27B5E">
            <w:pPr>
              <w:jc w:val="center"/>
              <w:rPr>
                <w:rFonts w:eastAsia="Times New Roman"/>
                <w:szCs w:val="20"/>
                <w:lang w:eastAsia="pt-BR"/>
              </w:rPr>
            </w:pPr>
          </w:p>
        </w:tc>
        <w:tc>
          <w:tcPr>
            <w:tcW w:w="1134"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E27B5E" w:rsidRPr="000A4D81" w:rsidRDefault="00E27B5E" w:rsidP="00E27B5E">
            <w:pPr>
              <w:jc w:val="center"/>
              <w:rPr>
                <w:rFonts w:eastAsia="Times New Roman"/>
                <w:b/>
                <w:bCs/>
                <w:sz w:val="16"/>
                <w:szCs w:val="16"/>
                <w:lang w:eastAsia="pt-BR"/>
              </w:rPr>
            </w:pPr>
            <w:r w:rsidRPr="000A4D81">
              <w:rPr>
                <w:rFonts w:eastAsia="Times New Roman"/>
                <w:b/>
                <w:bCs/>
                <w:sz w:val="16"/>
                <w:szCs w:val="16"/>
                <w:lang w:eastAsia="pt-BR"/>
              </w:rPr>
              <w:t>ALÍQUOTA MUNICIPAL (%)</w:t>
            </w:r>
          </w:p>
        </w:tc>
        <w:tc>
          <w:tcPr>
            <w:tcW w:w="1980" w:type="dxa"/>
            <w:gridSpan w:val="2"/>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E27B5E" w:rsidRPr="000A4D81" w:rsidRDefault="00E27B5E" w:rsidP="00E27B5E">
            <w:pPr>
              <w:jc w:val="center"/>
              <w:rPr>
                <w:rFonts w:eastAsia="Times New Roman"/>
                <w:b/>
                <w:bCs/>
                <w:color w:val="000000"/>
                <w:sz w:val="16"/>
                <w:szCs w:val="16"/>
                <w:lang w:eastAsia="pt-BR"/>
              </w:rPr>
            </w:pPr>
            <w:r w:rsidRPr="000A4D81">
              <w:rPr>
                <w:rFonts w:eastAsia="Times New Roman"/>
                <w:b/>
                <w:bCs/>
                <w:color w:val="000000"/>
                <w:sz w:val="16"/>
                <w:szCs w:val="16"/>
                <w:lang w:eastAsia="pt-BR"/>
              </w:rPr>
              <w:t>% DE MÃO DE OBRA</w:t>
            </w:r>
          </w:p>
        </w:tc>
        <w:tc>
          <w:tcPr>
            <w:tcW w:w="713" w:type="dxa"/>
            <w:vMerge w:val="restart"/>
            <w:tcBorders>
              <w:top w:val="single" w:sz="4" w:space="0" w:color="auto"/>
              <w:left w:val="single" w:sz="4" w:space="0" w:color="auto"/>
              <w:bottom w:val="single" w:sz="8" w:space="0" w:color="000000"/>
              <w:right w:val="single" w:sz="8" w:space="0" w:color="auto"/>
            </w:tcBorders>
            <w:shd w:val="clear" w:color="auto" w:fill="auto"/>
            <w:vAlign w:val="center"/>
            <w:hideMark/>
          </w:tcPr>
          <w:p w:rsidR="00E27B5E" w:rsidRPr="000A4D81" w:rsidRDefault="00E27B5E" w:rsidP="00E27B5E">
            <w:pPr>
              <w:jc w:val="center"/>
              <w:rPr>
                <w:rFonts w:eastAsia="Times New Roman"/>
                <w:b/>
                <w:bCs/>
                <w:color w:val="000000"/>
                <w:sz w:val="16"/>
                <w:szCs w:val="16"/>
                <w:lang w:eastAsia="pt-BR"/>
              </w:rPr>
            </w:pPr>
            <w:r w:rsidRPr="000A4D81">
              <w:rPr>
                <w:rFonts w:eastAsia="Times New Roman"/>
                <w:b/>
                <w:bCs/>
                <w:color w:val="000000"/>
                <w:sz w:val="16"/>
                <w:szCs w:val="16"/>
                <w:lang w:eastAsia="pt-BR"/>
              </w:rPr>
              <w:t>ALÍQUOTA FINAL (%)</w:t>
            </w:r>
          </w:p>
        </w:tc>
      </w:tr>
      <w:tr w:rsidR="00E27B5E" w:rsidRPr="000A4D81" w:rsidTr="00E27B5E">
        <w:trPr>
          <w:trHeight w:val="495"/>
        </w:trPr>
        <w:tc>
          <w:tcPr>
            <w:tcW w:w="779" w:type="dxa"/>
            <w:tcBorders>
              <w:top w:val="nil"/>
              <w:left w:val="single" w:sz="8" w:space="0" w:color="auto"/>
              <w:bottom w:val="single" w:sz="4" w:space="0" w:color="auto"/>
              <w:right w:val="single" w:sz="4" w:space="0" w:color="auto"/>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C-2</w:t>
            </w:r>
          </w:p>
        </w:tc>
        <w:tc>
          <w:tcPr>
            <w:tcW w:w="3788" w:type="dxa"/>
            <w:tcBorders>
              <w:top w:val="nil"/>
              <w:left w:val="nil"/>
              <w:bottom w:val="single" w:sz="4" w:space="0" w:color="auto"/>
              <w:right w:val="single" w:sz="4" w:space="0" w:color="auto"/>
            </w:tcBorders>
            <w:shd w:val="clear" w:color="auto" w:fill="auto"/>
            <w:noWrap/>
            <w:vAlign w:val="center"/>
            <w:hideMark/>
          </w:tcPr>
          <w:p w:rsidR="00E27B5E" w:rsidRPr="000A4D81" w:rsidRDefault="00E27B5E" w:rsidP="00E27B5E">
            <w:pPr>
              <w:jc w:val="left"/>
              <w:rPr>
                <w:rFonts w:eastAsia="Times New Roman"/>
                <w:szCs w:val="20"/>
                <w:lang w:eastAsia="pt-BR"/>
              </w:rPr>
            </w:pPr>
            <w:r w:rsidRPr="000A4D81">
              <w:rPr>
                <w:rFonts w:eastAsia="Times New Roman"/>
                <w:szCs w:val="20"/>
                <w:lang w:eastAsia="pt-BR"/>
              </w:rPr>
              <w:t>COFINS</w:t>
            </w:r>
          </w:p>
        </w:tc>
        <w:tc>
          <w:tcPr>
            <w:tcW w:w="1032" w:type="dxa"/>
            <w:tcBorders>
              <w:top w:val="nil"/>
              <w:left w:val="nil"/>
              <w:bottom w:val="single" w:sz="4" w:space="0" w:color="auto"/>
              <w:right w:val="single" w:sz="8" w:space="0" w:color="auto"/>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3,00%</w:t>
            </w:r>
          </w:p>
        </w:tc>
        <w:tc>
          <w:tcPr>
            <w:tcW w:w="425" w:type="dxa"/>
            <w:tcBorders>
              <w:top w:val="nil"/>
              <w:left w:val="nil"/>
              <w:bottom w:val="nil"/>
              <w:right w:val="nil"/>
            </w:tcBorders>
            <w:shd w:val="clear" w:color="auto" w:fill="auto"/>
            <w:noWrap/>
            <w:vAlign w:val="center"/>
            <w:hideMark/>
          </w:tcPr>
          <w:p w:rsidR="00E27B5E" w:rsidRPr="000A4D81" w:rsidRDefault="00E27B5E" w:rsidP="00E27B5E">
            <w:pPr>
              <w:jc w:val="center"/>
              <w:rPr>
                <w:rFonts w:eastAsia="Times New Roman"/>
                <w:szCs w:val="20"/>
                <w:lang w:eastAsia="pt-BR"/>
              </w:rPr>
            </w:pPr>
          </w:p>
        </w:tc>
        <w:tc>
          <w:tcPr>
            <w:tcW w:w="1134" w:type="dxa"/>
            <w:vMerge/>
            <w:tcBorders>
              <w:top w:val="single" w:sz="4" w:space="0" w:color="auto"/>
              <w:left w:val="single" w:sz="8" w:space="0" w:color="auto"/>
              <w:bottom w:val="single" w:sz="8" w:space="0" w:color="000000"/>
              <w:right w:val="single" w:sz="4" w:space="0" w:color="auto"/>
            </w:tcBorders>
            <w:vAlign w:val="center"/>
            <w:hideMark/>
          </w:tcPr>
          <w:p w:rsidR="00E27B5E" w:rsidRPr="000A4D81" w:rsidRDefault="00E27B5E" w:rsidP="00E27B5E">
            <w:pPr>
              <w:jc w:val="left"/>
              <w:rPr>
                <w:rFonts w:eastAsia="Times New Roman"/>
                <w:b/>
                <w:bCs/>
                <w:sz w:val="16"/>
                <w:szCs w:val="16"/>
                <w:lang w:eastAsia="pt-BR"/>
              </w:rPr>
            </w:pPr>
          </w:p>
        </w:tc>
        <w:tc>
          <w:tcPr>
            <w:tcW w:w="1980" w:type="dxa"/>
            <w:gridSpan w:val="2"/>
            <w:vMerge/>
            <w:tcBorders>
              <w:top w:val="single" w:sz="4" w:space="0" w:color="auto"/>
              <w:left w:val="single" w:sz="4" w:space="0" w:color="auto"/>
              <w:bottom w:val="single" w:sz="8" w:space="0" w:color="000000"/>
              <w:right w:val="single" w:sz="4" w:space="0" w:color="auto"/>
            </w:tcBorders>
            <w:vAlign w:val="center"/>
            <w:hideMark/>
          </w:tcPr>
          <w:p w:rsidR="00E27B5E" w:rsidRPr="000A4D81" w:rsidRDefault="00E27B5E" w:rsidP="00E27B5E">
            <w:pPr>
              <w:jc w:val="left"/>
              <w:rPr>
                <w:rFonts w:eastAsia="Times New Roman"/>
                <w:b/>
                <w:bCs/>
                <w:color w:val="000000"/>
                <w:sz w:val="16"/>
                <w:szCs w:val="16"/>
                <w:lang w:eastAsia="pt-BR"/>
              </w:rPr>
            </w:pPr>
          </w:p>
        </w:tc>
        <w:tc>
          <w:tcPr>
            <w:tcW w:w="713" w:type="dxa"/>
            <w:vMerge/>
            <w:tcBorders>
              <w:top w:val="single" w:sz="4" w:space="0" w:color="auto"/>
              <w:left w:val="single" w:sz="4" w:space="0" w:color="auto"/>
              <w:bottom w:val="single" w:sz="8" w:space="0" w:color="000000"/>
              <w:right w:val="single" w:sz="8" w:space="0" w:color="auto"/>
            </w:tcBorders>
            <w:vAlign w:val="center"/>
            <w:hideMark/>
          </w:tcPr>
          <w:p w:rsidR="00E27B5E" w:rsidRPr="000A4D81" w:rsidRDefault="00E27B5E" w:rsidP="00E27B5E">
            <w:pPr>
              <w:jc w:val="left"/>
              <w:rPr>
                <w:rFonts w:eastAsia="Times New Roman"/>
                <w:b/>
                <w:bCs/>
                <w:color w:val="000000"/>
                <w:sz w:val="16"/>
                <w:szCs w:val="16"/>
                <w:lang w:eastAsia="pt-BR"/>
              </w:rPr>
            </w:pPr>
          </w:p>
        </w:tc>
      </w:tr>
      <w:tr w:rsidR="00E27B5E" w:rsidRPr="000A4D81" w:rsidTr="00E27B5E">
        <w:trPr>
          <w:trHeight w:val="270"/>
        </w:trPr>
        <w:tc>
          <w:tcPr>
            <w:tcW w:w="779"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C-3</w:t>
            </w:r>
          </w:p>
        </w:tc>
        <w:tc>
          <w:tcPr>
            <w:tcW w:w="378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27B5E" w:rsidRPr="000A4D81" w:rsidRDefault="00E27B5E" w:rsidP="00E27B5E">
            <w:pPr>
              <w:jc w:val="left"/>
              <w:rPr>
                <w:rFonts w:eastAsia="Times New Roman"/>
                <w:szCs w:val="20"/>
                <w:lang w:eastAsia="pt-BR"/>
              </w:rPr>
            </w:pPr>
            <w:r w:rsidRPr="000A4D81">
              <w:rPr>
                <w:rFonts w:eastAsia="Times New Roman"/>
                <w:szCs w:val="20"/>
                <w:lang w:eastAsia="pt-BR"/>
              </w:rPr>
              <w:t>ISS</w:t>
            </w:r>
          </w:p>
        </w:tc>
        <w:tc>
          <w:tcPr>
            <w:tcW w:w="1032" w:type="dxa"/>
            <w:vMerge w:val="restart"/>
            <w:tcBorders>
              <w:top w:val="nil"/>
              <w:left w:val="single" w:sz="4" w:space="0" w:color="auto"/>
              <w:bottom w:val="single" w:sz="4" w:space="0" w:color="000000"/>
              <w:right w:val="single" w:sz="8" w:space="0" w:color="auto"/>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5,00%</w:t>
            </w:r>
          </w:p>
        </w:tc>
        <w:tc>
          <w:tcPr>
            <w:tcW w:w="425" w:type="dxa"/>
            <w:tcBorders>
              <w:top w:val="nil"/>
              <w:left w:val="nil"/>
              <w:bottom w:val="nil"/>
              <w:right w:val="nil"/>
            </w:tcBorders>
            <w:shd w:val="clear" w:color="auto" w:fill="auto"/>
            <w:noWrap/>
            <w:vAlign w:val="center"/>
            <w:hideMark/>
          </w:tcPr>
          <w:p w:rsidR="00E27B5E" w:rsidRPr="000A4D81" w:rsidRDefault="00E27B5E" w:rsidP="00E27B5E">
            <w:pPr>
              <w:jc w:val="center"/>
              <w:rPr>
                <w:rFonts w:eastAsia="Times New Roman"/>
                <w:szCs w:val="20"/>
                <w:lang w:eastAsia="pt-BR"/>
              </w:rPr>
            </w:pPr>
          </w:p>
        </w:tc>
        <w:tc>
          <w:tcPr>
            <w:tcW w:w="1134" w:type="dxa"/>
            <w:tcBorders>
              <w:top w:val="nil"/>
              <w:left w:val="nil"/>
              <w:bottom w:val="nil"/>
              <w:right w:val="nil"/>
            </w:tcBorders>
            <w:shd w:val="clear" w:color="auto" w:fill="auto"/>
            <w:vAlign w:val="center"/>
            <w:hideMark/>
          </w:tcPr>
          <w:p w:rsidR="00E27B5E" w:rsidRPr="000A4D81" w:rsidRDefault="00E27B5E" w:rsidP="00E27B5E">
            <w:pPr>
              <w:jc w:val="center"/>
              <w:rPr>
                <w:rFonts w:eastAsia="Times New Roman"/>
                <w:b/>
                <w:bCs/>
                <w:szCs w:val="20"/>
                <w:lang w:eastAsia="pt-BR"/>
              </w:rPr>
            </w:pPr>
          </w:p>
        </w:tc>
        <w:tc>
          <w:tcPr>
            <w:tcW w:w="960" w:type="dxa"/>
            <w:tcBorders>
              <w:top w:val="nil"/>
              <w:left w:val="nil"/>
              <w:bottom w:val="nil"/>
              <w:right w:val="nil"/>
            </w:tcBorders>
            <w:shd w:val="clear" w:color="auto" w:fill="auto"/>
            <w:noWrap/>
            <w:vAlign w:val="center"/>
            <w:hideMark/>
          </w:tcPr>
          <w:p w:rsidR="00E27B5E" w:rsidRPr="000A4D81" w:rsidRDefault="00E27B5E" w:rsidP="00E27B5E">
            <w:pPr>
              <w:jc w:val="center"/>
              <w:rPr>
                <w:rFonts w:eastAsia="Times New Roman"/>
                <w:szCs w:val="20"/>
                <w:lang w:eastAsia="pt-BR"/>
              </w:rPr>
            </w:pPr>
          </w:p>
        </w:tc>
        <w:tc>
          <w:tcPr>
            <w:tcW w:w="1020" w:type="dxa"/>
            <w:tcBorders>
              <w:top w:val="nil"/>
              <w:left w:val="nil"/>
              <w:bottom w:val="nil"/>
              <w:right w:val="nil"/>
            </w:tcBorders>
            <w:shd w:val="clear" w:color="auto" w:fill="auto"/>
            <w:noWrap/>
            <w:vAlign w:val="center"/>
            <w:hideMark/>
          </w:tcPr>
          <w:p w:rsidR="00E27B5E" w:rsidRPr="000A4D81" w:rsidRDefault="00E27B5E" w:rsidP="00E27B5E">
            <w:pPr>
              <w:jc w:val="center"/>
              <w:rPr>
                <w:rFonts w:eastAsia="Times New Roman"/>
                <w:szCs w:val="20"/>
                <w:lang w:eastAsia="pt-BR"/>
              </w:rPr>
            </w:pPr>
          </w:p>
        </w:tc>
        <w:tc>
          <w:tcPr>
            <w:tcW w:w="713" w:type="dxa"/>
            <w:tcBorders>
              <w:top w:val="nil"/>
              <w:left w:val="nil"/>
              <w:bottom w:val="nil"/>
              <w:right w:val="single" w:sz="8" w:space="0" w:color="auto"/>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 </w:t>
            </w:r>
          </w:p>
        </w:tc>
      </w:tr>
      <w:tr w:rsidR="00E27B5E" w:rsidRPr="000A4D81" w:rsidTr="00E27B5E">
        <w:trPr>
          <w:trHeight w:val="270"/>
        </w:trPr>
        <w:tc>
          <w:tcPr>
            <w:tcW w:w="779" w:type="dxa"/>
            <w:vMerge/>
            <w:tcBorders>
              <w:top w:val="nil"/>
              <w:left w:val="single" w:sz="8" w:space="0" w:color="auto"/>
              <w:bottom w:val="single" w:sz="4" w:space="0" w:color="000000"/>
              <w:right w:val="single" w:sz="4" w:space="0" w:color="auto"/>
            </w:tcBorders>
            <w:vAlign w:val="center"/>
            <w:hideMark/>
          </w:tcPr>
          <w:p w:rsidR="00E27B5E" w:rsidRPr="000A4D81" w:rsidRDefault="00E27B5E" w:rsidP="00E27B5E">
            <w:pPr>
              <w:jc w:val="left"/>
              <w:rPr>
                <w:rFonts w:eastAsia="Times New Roman"/>
                <w:szCs w:val="20"/>
                <w:lang w:eastAsia="pt-BR"/>
              </w:rPr>
            </w:pPr>
          </w:p>
        </w:tc>
        <w:tc>
          <w:tcPr>
            <w:tcW w:w="3788" w:type="dxa"/>
            <w:vMerge/>
            <w:tcBorders>
              <w:top w:val="nil"/>
              <w:left w:val="single" w:sz="4" w:space="0" w:color="auto"/>
              <w:bottom w:val="single" w:sz="4" w:space="0" w:color="000000"/>
              <w:right w:val="single" w:sz="4" w:space="0" w:color="auto"/>
            </w:tcBorders>
            <w:vAlign w:val="center"/>
            <w:hideMark/>
          </w:tcPr>
          <w:p w:rsidR="00E27B5E" w:rsidRPr="000A4D81" w:rsidRDefault="00E27B5E" w:rsidP="00E27B5E">
            <w:pPr>
              <w:jc w:val="left"/>
              <w:rPr>
                <w:rFonts w:eastAsia="Times New Roman"/>
                <w:szCs w:val="20"/>
                <w:lang w:eastAsia="pt-BR"/>
              </w:rPr>
            </w:pPr>
          </w:p>
        </w:tc>
        <w:tc>
          <w:tcPr>
            <w:tcW w:w="1032" w:type="dxa"/>
            <w:vMerge/>
            <w:tcBorders>
              <w:top w:val="nil"/>
              <w:left w:val="single" w:sz="4" w:space="0" w:color="auto"/>
              <w:bottom w:val="single" w:sz="4" w:space="0" w:color="000000"/>
              <w:right w:val="single" w:sz="8" w:space="0" w:color="auto"/>
            </w:tcBorders>
            <w:vAlign w:val="center"/>
            <w:hideMark/>
          </w:tcPr>
          <w:p w:rsidR="00E27B5E" w:rsidRPr="000A4D81" w:rsidRDefault="00E27B5E" w:rsidP="00E27B5E">
            <w:pPr>
              <w:jc w:val="left"/>
              <w:rPr>
                <w:rFonts w:eastAsia="Times New Roman"/>
                <w:szCs w:val="20"/>
                <w:lang w:eastAsia="pt-BR"/>
              </w:rPr>
            </w:pPr>
          </w:p>
        </w:tc>
        <w:tc>
          <w:tcPr>
            <w:tcW w:w="425" w:type="dxa"/>
            <w:tcBorders>
              <w:top w:val="nil"/>
              <w:left w:val="nil"/>
              <w:bottom w:val="nil"/>
              <w:right w:val="nil"/>
            </w:tcBorders>
            <w:shd w:val="clear" w:color="auto" w:fill="auto"/>
            <w:noWrap/>
            <w:vAlign w:val="center"/>
            <w:hideMark/>
          </w:tcPr>
          <w:p w:rsidR="00E27B5E" w:rsidRPr="000A4D81" w:rsidRDefault="00E27B5E" w:rsidP="00E27B5E">
            <w:pPr>
              <w:jc w:val="center"/>
              <w:rPr>
                <w:rFonts w:eastAsia="Times New Roman"/>
                <w:szCs w:val="20"/>
                <w:lang w:eastAsia="pt-BR"/>
              </w:rPr>
            </w:pPr>
          </w:p>
        </w:tc>
        <w:tc>
          <w:tcPr>
            <w:tcW w:w="1134"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5,00%</w:t>
            </w:r>
          </w:p>
        </w:tc>
        <w:tc>
          <w:tcPr>
            <w:tcW w:w="1980" w:type="dxa"/>
            <w:gridSpan w:val="2"/>
            <w:tcBorders>
              <w:top w:val="single" w:sz="8" w:space="0" w:color="auto"/>
              <w:left w:val="nil"/>
              <w:bottom w:val="single" w:sz="8" w:space="0" w:color="auto"/>
              <w:right w:val="single" w:sz="4" w:space="0" w:color="000000"/>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70,00%</w:t>
            </w:r>
          </w:p>
        </w:tc>
        <w:tc>
          <w:tcPr>
            <w:tcW w:w="713" w:type="dxa"/>
            <w:tcBorders>
              <w:top w:val="single" w:sz="8" w:space="0" w:color="auto"/>
              <w:left w:val="nil"/>
              <w:bottom w:val="single" w:sz="8" w:space="0" w:color="auto"/>
              <w:right w:val="single" w:sz="8" w:space="0" w:color="auto"/>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3,50%</w:t>
            </w:r>
          </w:p>
        </w:tc>
      </w:tr>
      <w:tr w:rsidR="00E27B5E" w:rsidRPr="000A4D81" w:rsidTr="00E27B5E">
        <w:trPr>
          <w:trHeight w:val="255"/>
        </w:trPr>
        <w:tc>
          <w:tcPr>
            <w:tcW w:w="779" w:type="dxa"/>
            <w:tcBorders>
              <w:top w:val="nil"/>
              <w:left w:val="single" w:sz="8" w:space="0" w:color="auto"/>
              <w:bottom w:val="nil"/>
              <w:right w:val="single" w:sz="4" w:space="0" w:color="auto"/>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C-4</w:t>
            </w:r>
          </w:p>
        </w:tc>
        <w:tc>
          <w:tcPr>
            <w:tcW w:w="3788" w:type="dxa"/>
            <w:tcBorders>
              <w:top w:val="nil"/>
              <w:left w:val="nil"/>
              <w:bottom w:val="nil"/>
              <w:right w:val="single" w:sz="4" w:space="0" w:color="auto"/>
            </w:tcBorders>
            <w:shd w:val="clear" w:color="auto" w:fill="auto"/>
            <w:noWrap/>
            <w:vAlign w:val="center"/>
            <w:hideMark/>
          </w:tcPr>
          <w:p w:rsidR="00E27B5E" w:rsidRPr="000A4D81" w:rsidRDefault="00E27B5E" w:rsidP="00E27B5E">
            <w:pPr>
              <w:jc w:val="left"/>
              <w:rPr>
                <w:rFonts w:eastAsia="Times New Roman"/>
                <w:szCs w:val="20"/>
                <w:lang w:eastAsia="pt-BR"/>
              </w:rPr>
            </w:pPr>
            <w:r w:rsidRPr="000A4D81">
              <w:rPr>
                <w:rFonts w:eastAsia="Times New Roman"/>
                <w:szCs w:val="20"/>
                <w:lang w:eastAsia="pt-BR"/>
              </w:rPr>
              <w:t>CPRB (Contribuição Previdenciária sobre o Lucro Bruto)</w:t>
            </w:r>
          </w:p>
        </w:tc>
        <w:tc>
          <w:tcPr>
            <w:tcW w:w="1032" w:type="dxa"/>
            <w:tcBorders>
              <w:top w:val="nil"/>
              <w:left w:val="nil"/>
              <w:bottom w:val="nil"/>
              <w:right w:val="single" w:sz="8" w:space="0" w:color="auto"/>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 </w:t>
            </w:r>
          </w:p>
        </w:tc>
        <w:tc>
          <w:tcPr>
            <w:tcW w:w="425" w:type="dxa"/>
            <w:tcBorders>
              <w:top w:val="nil"/>
              <w:left w:val="nil"/>
              <w:bottom w:val="nil"/>
              <w:right w:val="nil"/>
            </w:tcBorders>
            <w:shd w:val="clear" w:color="auto" w:fill="auto"/>
            <w:noWrap/>
            <w:vAlign w:val="center"/>
            <w:hideMark/>
          </w:tcPr>
          <w:p w:rsidR="00E27B5E" w:rsidRPr="000A4D81" w:rsidRDefault="00E27B5E" w:rsidP="00E27B5E">
            <w:pPr>
              <w:jc w:val="center"/>
              <w:rPr>
                <w:rFonts w:eastAsia="Times New Roman"/>
                <w:szCs w:val="20"/>
                <w:lang w:eastAsia="pt-BR"/>
              </w:rPr>
            </w:pPr>
          </w:p>
        </w:tc>
        <w:tc>
          <w:tcPr>
            <w:tcW w:w="1134" w:type="dxa"/>
            <w:tcBorders>
              <w:top w:val="nil"/>
              <w:left w:val="nil"/>
              <w:bottom w:val="nil"/>
              <w:right w:val="nil"/>
            </w:tcBorders>
            <w:shd w:val="clear" w:color="000000" w:fill="FFFFFF"/>
            <w:noWrap/>
            <w:vAlign w:val="center"/>
            <w:hideMark/>
          </w:tcPr>
          <w:p w:rsidR="00E27B5E" w:rsidRPr="000A4D81" w:rsidRDefault="00E27B5E" w:rsidP="00E27B5E">
            <w:pPr>
              <w:jc w:val="left"/>
              <w:rPr>
                <w:rFonts w:eastAsia="Times New Roman"/>
                <w:szCs w:val="20"/>
                <w:lang w:eastAsia="pt-BR"/>
              </w:rPr>
            </w:pPr>
            <w:r w:rsidRPr="000A4D81">
              <w:rPr>
                <w:rFonts w:eastAsia="Times New Roman"/>
                <w:szCs w:val="20"/>
                <w:lang w:eastAsia="pt-BR"/>
              </w:rPr>
              <w:t> </w:t>
            </w:r>
          </w:p>
        </w:tc>
        <w:tc>
          <w:tcPr>
            <w:tcW w:w="960" w:type="dxa"/>
            <w:tcBorders>
              <w:top w:val="nil"/>
              <w:left w:val="nil"/>
              <w:bottom w:val="nil"/>
              <w:right w:val="nil"/>
            </w:tcBorders>
            <w:shd w:val="clear" w:color="000000" w:fill="FFFFFF"/>
            <w:noWrap/>
            <w:vAlign w:val="center"/>
            <w:hideMark/>
          </w:tcPr>
          <w:p w:rsidR="00E27B5E" w:rsidRPr="000A4D81" w:rsidRDefault="00E27B5E" w:rsidP="00E27B5E">
            <w:pPr>
              <w:jc w:val="left"/>
              <w:rPr>
                <w:rFonts w:eastAsia="Times New Roman"/>
                <w:szCs w:val="20"/>
                <w:lang w:eastAsia="pt-BR"/>
              </w:rPr>
            </w:pPr>
            <w:r w:rsidRPr="000A4D81">
              <w:rPr>
                <w:rFonts w:eastAsia="Times New Roman"/>
                <w:szCs w:val="20"/>
                <w:lang w:eastAsia="pt-BR"/>
              </w:rPr>
              <w:t> </w:t>
            </w:r>
          </w:p>
        </w:tc>
        <w:tc>
          <w:tcPr>
            <w:tcW w:w="1020" w:type="dxa"/>
            <w:tcBorders>
              <w:top w:val="nil"/>
              <w:left w:val="nil"/>
              <w:bottom w:val="nil"/>
              <w:right w:val="nil"/>
            </w:tcBorders>
            <w:shd w:val="clear" w:color="000000" w:fill="FFFFFF"/>
            <w:noWrap/>
            <w:vAlign w:val="center"/>
            <w:hideMark/>
          </w:tcPr>
          <w:p w:rsidR="00E27B5E" w:rsidRPr="000A4D81" w:rsidRDefault="00E27B5E" w:rsidP="00E27B5E">
            <w:pPr>
              <w:jc w:val="left"/>
              <w:rPr>
                <w:rFonts w:eastAsia="Times New Roman"/>
                <w:szCs w:val="20"/>
                <w:lang w:eastAsia="pt-BR"/>
              </w:rPr>
            </w:pPr>
            <w:r w:rsidRPr="000A4D81">
              <w:rPr>
                <w:rFonts w:eastAsia="Times New Roman"/>
                <w:szCs w:val="20"/>
                <w:lang w:eastAsia="pt-BR"/>
              </w:rPr>
              <w:t> </w:t>
            </w:r>
          </w:p>
        </w:tc>
        <w:tc>
          <w:tcPr>
            <w:tcW w:w="713" w:type="dxa"/>
            <w:tcBorders>
              <w:top w:val="nil"/>
              <w:left w:val="nil"/>
              <w:bottom w:val="nil"/>
              <w:right w:val="single" w:sz="8" w:space="0" w:color="auto"/>
            </w:tcBorders>
            <w:shd w:val="clear" w:color="000000" w:fill="FFFFFF"/>
            <w:noWrap/>
            <w:vAlign w:val="center"/>
            <w:hideMark/>
          </w:tcPr>
          <w:p w:rsidR="00E27B5E" w:rsidRPr="000A4D81" w:rsidRDefault="00E27B5E" w:rsidP="00E27B5E">
            <w:pPr>
              <w:jc w:val="left"/>
              <w:rPr>
                <w:rFonts w:eastAsia="Times New Roman"/>
                <w:szCs w:val="20"/>
                <w:lang w:eastAsia="pt-BR"/>
              </w:rPr>
            </w:pPr>
            <w:r w:rsidRPr="000A4D81">
              <w:rPr>
                <w:rFonts w:eastAsia="Times New Roman"/>
                <w:szCs w:val="20"/>
                <w:lang w:eastAsia="pt-BR"/>
              </w:rPr>
              <w:t> </w:t>
            </w:r>
          </w:p>
        </w:tc>
      </w:tr>
      <w:tr w:rsidR="00E27B5E" w:rsidRPr="000A4D81" w:rsidTr="00E27B5E">
        <w:trPr>
          <w:trHeight w:val="270"/>
        </w:trPr>
        <w:tc>
          <w:tcPr>
            <w:tcW w:w="4567"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rsidR="00E27B5E" w:rsidRPr="000A4D81" w:rsidRDefault="00E27B5E" w:rsidP="00E27B5E">
            <w:pPr>
              <w:jc w:val="right"/>
              <w:rPr>
                <w:rFonts w:eastAsia="Times New Roman"/>
                <w:b/>
                <w:bCs/>
                <w:szCs w:val="20"/>
                <w:lang w:eastAsia="pt-BR"/>
              </w:rPr>
            </w:pPr>
            <w:r w:rsidRPr="000A4D81">
              <w:rPr>
                <w:rFonts w:eastAsia="Times New Roman"/>
                <w:b/>
                <w:bCs/>
                <w:szCs w:val="20"/>
                <w:lang w:eastAsia="pt-BR"/>
              </w:rPr>
              <w:t>Total do Grupo C =</w:t>
            </w:r>
          </w:p>
        </w:tc>
        <w:tc>
          <w:tcPr>
            <w:tcW w:w="1032" w:type="dxa"/>
            <w:tcBorders>
              <w:top w:val="single" w:sz="4" w:space="0" w:color="auto"/>
              <w:left w:val="nil"/>
              <w:bottom w:val="single" w:sz="8" w:space="0" w:color="auto"/>
              <w:right w:val="single" w:sz="8" w:space="0" w:color="auto"/>
            </w:tcBorders>
            <w:shd w:val="clear" w:color="auto" w:fill="auto"/>
            <w:noWrap/>
            <w:vAlign w:val="center"/>
            <w:hideMark/>
          </w:tcPr>
          <w:p w:rsidR="00E27B5E" w:rsidRPr="000A4D81" w:rsidRDefault="00E27B5E" w:rsidP="00E27B5E">
            <w:pPr>
              <w:jc w:val="center"/>
              <w:rPr>
                <w:rFonts w:eastAsia="Times New Roman"/>
                <w:b/>
                <w:bCs/>
                <w:szCs w:val="20"/>
                <w:lang w:eastAsia="pt-BR"/>
              </w:rPr>
            </w:pPr>
            <w:r w:rsidRPr="000A4D81">
              <w:rPr>
                <w:rFonts w:eastAsia="Times New Roman"/>
                <w:b/>
                <w:bCs/>
                <w:szCs w:val="20"/>
                <w:lang w:eastAsia="pt-BR"/>
              </w:rPr>
              <w:t>8,65%</w:t>
            </w:r>
          </w:p>
        </w:tc>
        <w:tc>
          <w:tcPr>
            <w:tcW w:w="425" w:type="dxa"/>
            <w:tcBorders>
              <w:top w:val="nil"/>
              <w:left w:val="nil"/>
              <w:bottom w:val="nil"/>
              <w:right w:val="nil"/>
            </w:tcBorders>
            <w:shd w:val="clear" w:color="auto" w:fill="auto"/>
            <w:noWrap/>
            <w:vAlign w:val="center"/>
            <w:hideMark/>
          </w:tcPr>
          <w:p w:rsidR="00E27B5E" w:rsidRPr="000A4D81" w:rsidRDefault="00E27B5E" w:rsidP="00E27B5E">
            <w:pPr>
              <w:jc w:val="center"/>
              <w:rPr>
                <w:rFonts w:eastAsia="Times New Roman"/>
                <w:b/>
                <w:bCs/>
                <w:szCs w:val="20"/>
                <w:lang w:eastAsia="pt-BR"/>
              </w:rPr>
            </w:pPr>
          </w:p>
        </w:tc>
        <w:tc>
          <w:tcPr>
            <w:tcW w:w="1134" w:type="dxa"/>
            <w:tcBorders>
              <w:top w:val="nil"/>
              <w:left w:val="nil"/>
              <w:bottom w:val="nil"/>
              <w:right w:val="nil"/>
            </w:tcBorders>
            <w:shd w:val="clear" w:color="auto" w:fill="auto"/>
            <w:noWrap/>
            <w:vAlign w:val="center"/>
            <w:hideMark/>
          </w:tcPr>
          <w:p w:rsidR="00E27B5E" w:rsidRPr="000A4D81" w:rsidRDefault="00E27B5E" w:rsidP="00E27B5E">
            <w:pPr>
              <w:jc w:val="left"/>
              <w:rPr>
                <w:rFonts w:eastAsia="Times New Roman"/>
                <w:szCs w:val="20"/>
                <w:lang w:eastAsia="pt-BR"/>
              </w:rPr>
            </w:pPr>
          </w:p>
        </w:tc>
        <w:tc>
          <w:tcPr>
            <w:tcW w:w="960" w:type="dxa"/>
            <w:tcBorders>
              <w:top w:val="nil"/>
              <w:left w:val="nil"/>
              <w:bottom w:val="nil"/>
              <w:right w:val="nil"/>
            </w:tcBorders>
            <w:shd w:val="clear" w:color="auto" w:fill="auto"/>
            <w:noWrap/>
            <w:vAlign w:val="center"/>
            <w:hideMark/>
          </w:tcPr>
          <w:p w:rsidR="00E27B5E" w:rsidRPr="000A4D81" w:rsidRDefault="00E27B5E" w:rsidP="00E27B5E">
            <w:pPr>
              <w:jc w:val="left"/>
              <w:rPr>
                <w:rFonts w:eastAsia="Times New Roman"/>
                <w:szCs w:val="20"/>
                <w:lang w:eastAsia="pt-BR"/>
              </w:rPr>
            </w:pPr>
          </w:p>
        </w:tc>
        <w:tc>
          <w:tcPr>
            <w:tcW w:w="1020" w:type="dxa"/>
            <w:tcBorders>
              <w:top w:val="nil"/>
              <w:left w:val="nil"/>
              <w:bottom w:val="nil"/>
              <w:right w:val="nil"/>
            </w:tcBorders>
            <w:shd w:val="clear" w:color="auto" w:fill="auto"/>
            <w:noWrap/>
            <w:vAlign w:val="center"/>
            <w:hideMark/>
          </w:tcPr>
          <w:p w:rsidR="00E27B5E" w:rsidRPr="000A4D81" w:rsidRDefault="00E27B5E" w:rsidP="00E27B5E">
            <w:pPr>
              <w:jc w:val="left"/>
              <w:rPr>
                <w:rFonts w:eastAsia="Times New Roman"/>
                <w:szCs w:val="20"/>
                <w:lang w:eastAsia="pt-BR"/>
              </w:rPr>
            </w:pPr>
          </w:p>
        </w:tc>
        <w:tc>
          <w:tcPr>
            <w:tcW w:w="713" w:type="dxa"/>
            <w:tcBorders>
              <w:top w:val="nil"/>
              <w:left w:val="nil"/>
              <w:bottom w:val="nil"/>
              <w:right w:val="single" w:sz="8" w:space="0" w:color="auto"/>
            </w:tcBorders>
            <w:shd w:val="clear" w:color="auto" w:fill="auto"/>
            <w:noWrap/>
            <w:vAlign w:val="center"/>
            <w:hideMark/>
          </w:tcPr>
          <w:p w:rsidR="00E27B5E" w:rsidRPr="000A4D81" w:rsidRDefault="00E27B5E" w:rsidP="00E27B5E">
            <w:pPr>
              <w:jc w:val="left"/>
              <w:rPr>
                <w:rFonts w:eastAsia="Times New Roman"/>
                <w:szCs w:val="20"/>
                <w:lang w:eastAsia="pt-BR"/>
              </w:rPr>
            </w:pPr>
            <w:r w:rsidRPr="000A4D81">
              <w:rPr>
                <w:rFonts w:eastAsia="Times New Roman"/>
                <w:szCs w:val="20"/>
                <w:lang w:eastAsia="pt-BR"/>
              </w:rPr>
              <w:t> </w:t>
            </w:r>
          </w:p>
        </w:tc>
      </w:tr>
      <w:tr w:rsidR="00E27B5E" w:rsidRPr="000A4D81" w:rsidTr="00E27B5E">
        <w:trPr>
          <w:trHeight w:val="255"/>
        </w:trPr>
        <w:tc>
          <w:tcPr>
            <w:tcW w:w="5599" w:type="dxa"/>
            <w:gridSpan w:val="3"/>
            <w:tcBorders>
              <w:top w:val="nil"/>
              <w:left w:val="single" w:sz="8" w:space="0" w:color="auto"/>
              <w:bottom w:val="nil"/>
              <w:right w:val="nil"/>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 </w:t>
            </w:r>
          </w:p>
        </w:tc>
        <w:tc>
          <w:tcPr>
            <w:tcW w:w="425" w:type="dxa"/>
            <w:tcBorders>
              <w:top w:val="nil"/>
              <w:left w:val="nil"/>
              <w:bottom w:val="nil"/>
              <w:right w:val="nil"/>
            </w:tcBorders>
            <w:shd w:val="clear" w:color="auto" w:fill="auto"/>
            <w:noWrap/>
            <w:vAlign w:val="center"/>
            <w:hideMark/>
          </w:tcPr>
          <w:p w:rsidR="00E27B5E" w:rsidRPr="000A4D81" w:rsidRDefault="00E27B5E" w:rsidP="00E27B5E">
            <w:pPr>
              <w:jc w:val="center"/>
              <w:rPr>
                <w:rFonts w:eastAsia="Times New Roman"/>
                <w:szCs w:val="20"/>
                <w:lang w:eastAsia="pt-BR"/>
              </w:rPr>
            </w:pPr>
          </w:p>
        </w:tc>
        <w:tc>
          <w:tcPr>
            <w:tcW w:w="1134" w:type="dxa"/>
            <w:tcBorders>
              <w:top w:val="nil"/>
              <w:left w:val="nil"/>
              <w:bottom w:val="nil"/>
              <w:right w:val="nil"/>
            </w:tcBorders>
            <w:shd w:val="clear" w:color="auto" w:fill="auto"/>
            <w:noWrap/>
            <w:vAlign w:val="center"/>
            <w:hideMark/>
          </w:tcPr>
          <w:p w:rsidR="00E27B5E" w:rsidRPr="000A4D81" w:rsidRDefault="00E27B5E" w:rsidP="00E27B5E">
            <w:pPr>
              <w:jc w:val="left"/>
              <w:rPr>
                <w:rFonts w:eastAsia="Times New Roman"/>
                <w:szCs w:val="20"/>
                <w:lang w:eastAsia="pt-BR"/>
              </w:rPr>
            </w:pPr>
          </w:p>
        </w:tc>
        <w:tc>
          <w:tcPr>
            <w:tcW w:w="960" w:type="dxa"/>
            <w:tcBorders>
              <w:top w:val="nil"/>
              <w:left w:val="nil"/>
              <w:bottom w:val="nil"/>
              <w:right w:val="nil"/>
            </w:tcBorders>
            <w:shd w:val="clear" w:color="auto" w:fill="auto"/>
            <w:noWrap/>
            <w:vAlign w:val="center"/>
            <w:hideMark/>
          </w:tcPr>
          <w:p w:rsidR="00E27B5E" w:rsidRPr="000A4D81" w:rsidRDefault="00E27B5E" w:rsidP="00E27B5E">
            <w:pPr>
              <w:jc w:val="left"/>
              <w:rPr>
                <w:rFonts w:eastAsia="Times New Roman"/>
                <w:szCs w:val="20"/>
                <w:lang w:eastAsia="pt-BR"/>
              </w:rPr>
            </w:pPr>
          </w:p>
        </w:tc>
        <w:tc>
          <w:tcPr>
            <w:tcW w:w="1020" w:type="dxa"/>
            <w:tcBorders>
              <w:top w:val="nil"/>
              <w:left w:val="nil"/>
              <w:bottom w:val="nil"/>
              <w:right w:val="nil"/>
            </w:tcBorders>
            <w:shd w:val="clear" w:color="auto" w:fill="auto"/>
            <w:noWrap/>
            <w:vAlign w:val="center"/>
            <w:hideMark/>
          </w:tcPr>
          <w:p w:rsidR="00E27B5E" w:rsidRPr="000A4D81" w:rsidRDefault="00E27B5E" w:rsidP="00E27B5E">
            <w:pPr>
              <w:jc w:val="left"/>
              <w:rPr>
                <w:rFonts w:eastAsia="Times New Roman"/>
                <w:szCs w:val="20"/>
                <w:lang w:eastAsia="pt-BR"/>
              </w:rPr>
            </w:pPr>
          </w:p>
        </w:tc>
        <w:tc>
          <w:tcPr>
            <w:tcW w:w="713" w:type="dxa"/>
            <w:tcBorders>
              <w:top w:val="nil"/>
              <w:left w:val="nil"/>
              <w:bottom w:val="nil"/>
              <w:right w:val="single" w:sz="8" w:space="0" w:color="auto"/>
            </w:tcBorders>
            <w:shd w:val="clear" w:color="auto" w:fill="auto"/>
            <w:noWrap/>
            <w:vAlign w:val="center"/>
            <w:hideMark/>
          </w:tcPr>
          <w:p w:rsidR="00E27B5E" w:rsidRPr="000A4D81" w:rsidRDefault="00E27B5E" w:rsidP="00E27B5E">
            <w:pPr>
              <w:jc w:val="left"/>
              <w:rPr>
                <w:rFonts w:eastAsia="Times New Roman"/>
                <w:szCs w:val="20"/>
                <w:lang w:eastAsia="pt-BR"/>
              </w:rPr>
            </w:pPr>
            <w:r w:rsidRPr="000A4D81">
              <w:rPr>
                <w:rFonts w:eastAsia="Times New Roman"/>
                <w:szCs w:val="20"/>
                <w:lang w:eastAsia="pt-BR"/>
              </w:rPr>
              <w:t> </w:t>
            </w:r>
          </w:p>
        </w:tc>
      </w:tr>
      <w:tr w:rsidR="00E27B5E" w:rsidRPr="000A4D81" w:rsidTr="00E27B5E">
        <w:trPr>
          <w:trHeight w:val="255"/>
        </w:trPr>
        <w:tc>
          <w:tcPr>
            <w:tcW w:w="779" w:type="dxa"/>
            <w:tcBorders>
              <w:top w:val="nil"/>
              <w:left w:val="single" w:sz="8" w:space="0" w:color="auto"/>
              <w:bottom w:val="nil"/>
              <w:right w:val="nil"/>
            </w:tcBorders>
            <w:shd w:val="clear" w:color="auto" w:fill="auto"/>
            <w:vAlign w:val="center"/>
            <w:hideMark/>
          </w:tcPr>
          <w:p w:rsidR="00E27B5E" w:rsidRPr="000A4D81" w:rsidRDefault="00E27B5E" w:rsidP="00E27B5E">
            <w:pPr>
              <w:jc w:val="center"/>
              <w:rPr>
                <w:rFonts w:eastAsia="Times New Roman"/>
                <w:b/>
                <w:bCs/>
                <w:szCs w:val="20"/>
                <w:lang w:eastAsia="pt-BR"/>
              </w:rPr>
            </w:pPr>
            <w:r w:rsidRPr="000A4D81">
              <w:rPr>
                <w:rFonts w:eastAsia="Times New Roman"/>
                <w:b/>
                <w:bCs/>
                <w:szCs w:val="20"/>
                <w:lang w:eastAsia="pt-BR"/>
              </w:rPr>
              <w:t> </w:t>
            </w:r>
          </w:p>
        </w:tc>
        <w:tc>
          <w:tcPr>
            <w:tcW w:w="3788" w:type="dxa"/>
            <w:tcBorders>
              <w:top w:val="nil"/>
              <w:left w:val="nil"/>
              <w:bottom w:val="nil"/>
              <w:right w:val="nil"/>
            </w:tcBorders>
            <w:shd w:val="clear" w:color="auto" w:fill="auto"/>
            <w:vAlign w:val="center"/>
            <w:hideMark/>
          </w:tcPr>
          <w:p w:rsidR="00E27B5E" w:rsidRPr="000A4D81" w:rsidRDefault="00E27B5E" w:rsidP="00E27B5E">
            <w:pPr>
              <w:rPr>
                <w:rFonts w:eastAsia="Times New Roman"/>
                <w:b/>
                <w:bCs/>
                <w:szCs w:val="20"/>
                <w:lang w:eastAsia="pt-BR"/>
              </w:rPr>
            </w:pPr>
            <w:r w:rsidRPr="000A4D81">
              <w:rPr>
                <w:rFonts w:eastAsia="Times New Roman"/>
                <w:b/>
                <w:bCs/>
                <w:szCs w:val="20"/>
                <w:lang w:eastAsia="pt-BR"/>
              </w:rPr>
              <w:t xml:space="preserve">Fórmula Para Cálculo do </w:t>
            </w:r>
            <w:proofErr w:type="spellStart"/>
            <w:proofErr w:type="gramStart"/>
            <w:r w:rsidRPr="000A4D81">
              <w:rPr>
                <w:rFonts w:eastAsia="Times New Roman"/>
                <w:b/>
                <w:bCs/>
                <w:szCs w:val="20"/>
                <w:lang w:eastAsia="pt-BR"/>
              </w:rPr>
              <w:t>B.D.</w:t>
            </w:r>
            <w:proofErr w:type="spellEnd"/>
            <w:proofErr w:type="gramEnd"/>
            <w:r w:rsidRPr="000A4D81">
              <w:rPr>
                <w:rFonts w:eastAsia="Times New Roman"/>
                <w:b/>
                <w:bCs/>
                <w:szCs w:val="20"/>
                <w:lang w:eastAsia="pt-BR"/>
              </w:rPr>
              <w:t>I</w:t>
            </w:r>
          </w:p>
        </w:tc>
        <w:tc>
          <w:tcPr>
            <w:tcW w:w="1032" w:type="dxa"/>
            <w:tcBorders>
              <w:top w:val="nil"/>
              <w:left w:val="nil"/>
              <w:bottom w:val="nil"/>
              <w:right w:val="nil"/>
            </w:tcBorders>
            <w:shd w:val="clear" w:color="auto" w:fill="auto"/>
            <w:noWrap/>
            <w:vAlign w:val="center"/>
            <w:hideMark/>
          </w:tcPr>
          <w:p w:rsidR="00E27B5E" w:rsidRPr="000A4D81" w:rsidRDefault="00E27B5E" w:rsidP="00E27B5E">
            <w:pPr>
              <w:jc w:val="left"/>
              <w:rPr>
                <w:rFonts w:eastAsia="Times New Roman"/>
                <w:szCs w:val="20"/>
                <w:lang w:eastAsia="pt-BR"/>
              </w:rPr>
            </w:pPr>
          </w:p>
        </w:tc>
        <w:tc>
          <w:tcPr>
            <w:tcW w:w="425" w:type="dxa"/>
            <w:tcBorders>
              <w:top w:val="nil"/>
              <w:left w:val="nil"/>
              <w:bottom w:val="nil"/>
              <w:right w:val="nil"/>
            </w:tcBorders>
            <w:shd w:val="clear" w:color="auto" w:fill="auto"/>
            <w:noWrap/>
            <w:vAlign w:val="center"/>
            <w:hideMark/>
          </w:tcPr>
          <w:p w:rsidR="00E27B5E" w:rsidRPr="000A4D81" w:rsidRDefault="00E27B5E" w:rsidP="00E27B5E">
            <w:pPr>
              <w:jc w:val="left"/>
              <w:rPr>
                <w:rFonts w:eastAsia="Times New Roman"/>
                <w:szCs w:val="20"/>
                <w:lang w:eastAsia="pt-BR"/>
              </w:rPr>
            </w:pPr>
          </w:p>
        </w:tc>
        <w:tc>
          <w:tcPr>
            <w:tcW w:w="1134" w:type="dxa"/>
            <w:tcBorders>
              <w:top w:val="nil"/>
              <w:left w:val="nil"/>
              <w:bottom w:val="nil"/>
              <w:right w:val="nil"/>
            </w:tcBorders>
            <w:shd w:val="clear" w:color="auto" w:fill="auto"/>
            <w:noWrap/>
            <w:vAlign w:val="center"/>
            <w:hideMark/>
          </w:tcPr>
          <w:p w:rsidR="00E27B5E" w:rsidRPr="000A4D81" w:rsidRDefault="00E27B5E" w:rsidP="00E27B5E">
            <w:pPr>
              <w:jc w:val="left"/>
              <w:rPr>
                <w:rFonts w:eastAsia="Times New Roman"/>
                <w:szCs w:val="20"/>
                <w:lang w:eastAsia="pt-BR"/>
              </w:rPr>
            </w:pPr>
          </w:p>
        </w:tc>
        <w:tc>
          <w:tcPr>
            <w:tcW w:w="960" w:type="dxa"/>
            <w:tcBorders>
              <w:top w:val="nil"/>
              <w:left w:val="nil"/>
              <w:bottom w:val="nil"/>
              <w:right w:val="nil"/>
            </w:tcBorders>
            <w:shd w:val="clear" w:color="auto" w:fill="auto"/>
            <w:noWrap/>
            <w:vAlign w:val="center"/>
            <w:hideMark/>
          </w:tcPr>
          <w:p w:rsidR="00E27B5E" w:rsidRPr="000A4D81" w:rsidRDefault="00E27B5E" w:rsidP="00E27B5E">
            <w:pPr>
              <w:jc w:val="left"/>
              <w:rPr>
                <w:rFonts w:eastAsia="Times New Roman"/>
                <w:szCs w:val="20"/>
                <w:lang w:eastAsia="pt-BR"/>
              </w:rPr>
            </w:pPr>
          </w:p>
        </w:tc>
        <w:tc>
          <w:tcPr>
            <w:tcW w:w="1020" w:type="dxa"/>
            <w:tcBorders>
              <w:top w:val="nil"/>
              <w:left w:val="nil"/>
              <w:bottom w:val="nil"/>
              <w:right w:val="nil"/>
            </w:tcBorders>
            <w:shd w:val="clear" w:color="auto" w:fill="auto"/>
            <w:noWrap/>
            <w:vAlign w:val="center"/>
            <w:hideMark/>
          </w:tcPr>
          <w:p w:rsidR="00E27B5E" w:rsidRPr="000A4D81" w:rsidRDefault="00E27B5E" w:rsidP="00E27B5E">
            <w:pPr>
              <w:jc w:val="left"/>
              <w:rPr>
                <w:rFonts w:eastAsia="Times New Roman"/>
                <w:szCs w:val="20"/>
                <w:lang w:eastAsia="pt-BR"/>
              </w:rPr>
            </w:pPr>
          </w:p>
        </w:tc>
        <w:tc>
          <w:tcPr>
            <w:tcW w:w="713" w:type="dxa"/>
            <w:tcBorders>
              <w:top w:val="nil"/>
              <w:left w:val="nil"/>
              <w:bottom w:val="nil"/>
              <w:right w:val="single" w:sz="8" w:space="0" w:color="auto"/>
            </w:tcBorders>
            <w:shd w:val="clear" w:color="auto" w:fill="auto"/>
            <w:noWrap/>
            <w:vAlign w:val="center"/>
            <w:hideMark/>
          </w:tcPr>
          <w:p w:rsidR="00E27B5E" w:rsidRPr="000A4D81" w:rsidRDefault="00E27B5E" w:rsidP="00E27B5E">
            <w:pPr>
              <w:jc w:val="left"/>
              <w:rPr>
                <w:rFonts w:eastAsia="Times New Roman"/>
                <w:szCs w:val="20"/>
                <w:lang w:eastAsia="pt-BR"/>
              </w:rPr>
            </w:pPr>
            <w:r w:rsidRPr="000A4D81">
              <w:rPr>
                <w:rFonts w:eastAsia="Times New Roman"/>
                <w:szCs w:val="20"/>
                <w:lang w:eastAsia="pt-BR"/>
              </w:rPr>
              <w:t> </w:t>
            </w:r>
          </w:p>
        </w:tc>
      </w:tr>
      <w:tr w:rsidR="00E27B5E" w:rsidRPr="000A4D81" w:rsidTr="00E27B5E">
        <w:trPr>
          <w:trHeight w:val="270"/>
        </w:trPr>
        <w:tc>
          <w:tcPr>
            <w:tcW w:w="779" w:type="dxa"/>
            <w:tcBorders>
              <w:top w:val="nil"/>
              <w:left w:val="single" w:sz="8" w:space="0" w:color="auto"/>
              <w:bottom w:val="nil"/>
              <w:right w:val="nil"/>
            </w:tcBorders>
            <w:shd w:val="clear" w:color="auto" w:fill="auto"/>
            <w:noWrap/>
            <w:vAlign w:val="center"/>
            <w:hideMark/>
          </w:tcPr>
          <w:p w:rsidR="00E27B5E" w:rsidRPr="000A4D81" w:rsidRDefault="00E27B5E" w:rsidP="00E27B5E">
            <w:pPr>
              <w:jc w:val="center"/>
              <w:rPr>
                <w:rFonts w:eastAsia="Times New Roman"/>
                <w:szCs w:val="20"/>
                <w:lang w:eastAsia="pt-BR"/>
              </w:rPr>
            </w:pPr>
            <w:r w:rsidRPr="000A4D81">
              <w:rPr>
                <w:rFonts w:eastAsia="Times New Roman"/>
                <w:szCs w:val="20"/>
                <w:lang w:eastAsia="pt-BR"/>
              </w:rPr>
              <w:t> </w:t>
            </w:r>
          </w:p>
        </w:tc>
        <w:tc>
          <w:tcPr>
            <w:tcW w:w="3788" w:type="dxa"/>
            <w:tcBorders>
              <w:top w:val="nil"/>
              <w:left w:val="nil"/>
              <w:bottom w:val="nil"/>
              <w:right w:val="nil"/>
            </w:tcBorders>
            <w:shd w:val="clear" w:color="auto" w:fill="auto"/>
            <w:noWrap/>
            <w:vAlign w:val="center"/>
            <w:hideMark/>
          </w:tcPr>
          <w:p w:rsidR="00E27B5E" w:rsidRPr="000A4D81" w:rsidRDefault="00E27B5E" w:rsidP="00E27B5E">
            <w:pPr>
              <w:jc w:val="center"/>
              <w:rPr>
                <w:rFonts w:eastAsia="Times New Roman"/>
                <w:szCs w:val="20"/>
                <w:lang w:eastAsia="pt-BR"/>
              </w:rPr>
            </w:pPr>
          </w:p>
        </w:tc>
        <w:tc>
          <w:tcPr>
            <w:tcW w:w="1032" w:type="dxa"/>
            <w:tcBorders>
              <w:top w:val="nil"/>
              <w:left w:val="nil"/>
              <w:bottom w:val="nil"/>
              <w:right w:val="nil"/>
            </w:tcBorders>
            <w:shd w:val="clear" w:color="auto" w:fill="auto"/>
            <w:noWrap/>
            <w:vAlign w:val="center"/>
            <w:hideMark/>
          </w:tcPr>
          <w:p w:rsidR="00E27B5E" w:rsidRPr="000A4D81" w:rsidRDefault="00E27B5E" w:rsidP="00E27B5E">
            <w:pPr>
              <w:jc w:val="center"/>
              <w:rPr>
                <w:rFonts w:eastAsia="Times New Roman"/>
                <w:szCs w:val="20"/>
                <w:lang w:eastAsia="pt-BR"/>
              </w:rPr>
            </w:pPr>
          </w:p>
        </w:tc>
        <w:tc>
          <w:tcPr>
            <w:tcW w:w="425" w:type="dxa"/>
            <w:tcBorders>
              <w:top w:val="nil"/>
              <w:left w:val="nil"/>
              <w:bottom w:val="nil"/>
              <w:right w:val="nil"/>
            </w:tcBorders>
            <w:shd w:val="clear" w:color="auto" w:fill="auto"/>
            <w:noWrap/>
            <w:vAlign w:val="center"/>
            <w:hideMark/>
          </w:tcPr>
          <w:p w:rsidR="00E27B5E" w:rsidRPr="000A4D81" w:rsidRDefault="00E27B5E" w:rsidP="00E27B5E">
            <w:pPr>
              <w:jc w:val="center"/>
              <w:rPr>
                <w:rFonts w:eastAsia="Times New Roman"/>
                <w:szCs w:val="20"/>
                <w:lang w:eastAsia="pt-BR"/>
              </w:rPr>
            </w:pPr>
          </w:p>
        </w:tc>
        <w:tc>
          <w:tcPr>
            <w:tcW w:w="1134" w:type="dxa"/>
            <w:tcBorders>
              <w:top w:val="nil"/>
              <w:left w:val="nil"/>
              <w:bottom w:val="nil"/>
              <w:right w:val="nil"/>
            </w:tcBorders>
            <w:shd w:val="clear" w:color="auto" w:fill="auto"/>
            <w:noWrap/>
            <w:vAlign w:val="center"/>
            <w:hideMark/>
          </w:tcPr>
          <w:p w:rsidR="00E27B5E" w:rsidRPr="000A4D81" w:rsidRDefault="00E27B5E" w:rsidP="00E27B5E">
            <w:pPr>
              <w:jc w:val="left"/>
              <w:rPr>
                <w:rFonts w:eastAsia="Times New Roman"/>
                <w:szCs w:val="20"/>
                <w:lang w:eastAsia="pt-BR"/>
              </w:rPr>
            </w:pPr>
          </w:p>
        </w:tc>
        <w:tc>
          <w:tcPr>
            <w:tcW w:w="960" w:type="dxa"/>
            <w:tcBorders>
              <w:top w:val="nil"/>
              <w:left w:val="nil"/>
              <w:bottom w:val="nil"/>
              <w:right w:val="nil"/>
            </w:tcBorders>
            <w:shd w:val="clear" w:color="auto" w:fill="auto"/>
            <w:noWrap/>
            <w:vAlign w:val="center"/>
            <w:hideMark/>
          </w:tcPr>
          <w:p w:rsidR="00E27B5E" w:rsidRPr="000A4D81" w:rsidRDefault="00E27B5E" w:rsidP="00E27B5E">
            <w:pPr>
              <w:jc w:val="left"/>
              <w:rPr>
                <w:rFonts w:eastAsia="Times New Roman"/>
                <w:szCs w:val="20"/>
                <w:lang w:eastAsia="pt-BR"/>
              </w:rPr>
            </w:pPr>
          </w:p>
        </w:tc>
        <w:tc>
          <w:tcPr>
            <w:tcW w:w="1020" w:type="dxa"/>
            <w:tcBorders>
              <w:top w:val="nil"/>
              <w:left w:val="nil"/>
              <w:bottom w:val="nil"/>
              <w:right w:val="nil"/>
            </w:tcBorders>
            <w:shd w:val="clear" w:color="auto" w:fill="auto"/>
            <w:noWrap/>
            <w:vAlign w:val="center"/>
            <w:hideMark/>
          </w:tcPr>
          <w:p w:rsidR="00E27B5E" w:rsidRPr="000A4D81" w:rsidRDefault="00E27B5E" w:rsidP="00E27B5E">
            <w:pPr>
              <w:jc w:val="left"/>
              <w:rPr>
                <w:rFonts w:eastAsia="Times New Roman"/>
                <w:szCs w:val="20"/>
                <w:lang w:eastAsia="pt-BR"/>
              </w:rPr>
            </w:pPr>
          </w:p>
        </w:tc>
        <w:tc>
          <w:tcPr>
            <w:tcW w:w="713" w:type="dxa"/>
            <w:tcBorders>
              <w:top w:val="nil"/>
              <w:left w:val="nil"/>
              <w:bottom w:val="nil"/>
              <w:right w:val="single" w:sz="8" w:space="0" w:color="auto"/>
            </w:tcBorders>
            <w:shd w:val="clear" w:color="auto" w:fill="auto"/>
            <w:noWrap/>
            <w:vAlign w:val="center"/>
            <w:hideMark/>
          </w:tcPr>
          <w:p w:rsidR="00E27B5E" w:rsidRPr="000A4D81" w:rsidRDefault="00E27B5E" w:rsidP="00E27B5E">
            <w:pPr>
              <w:jc w:val="left"/>
              <w:rPr>
                <w:rFonts w:eastAsia="Times New Roman"/>
                <w:szCs w:val="20"/>
                <w:lang w:eastAsia="pt-BR"/>
              </w:rPr>
            </w:pPr>
            <w:r w:rsidRPr="000A4D81">
              <w:rPr>
                <w:rFonts w:eastAsia="Times New Roman"/>
                <w:szCs w:val="20"/>
                <w:lang w:eastAsia="pt-BR"/>
              </w:rPr>
              <w:t> </w:t>
            </w:r>
          </w:p>
        </w:tc>
      </w:tr>
      <w:tr w:rsidR="00E27B5E" w:rsidRPr="000A4D81" w:rsidTr="00E27B5E">
        <w:trPr>
          <w:trHeight w:val="255"/>
        </w:trPr>
        <w:tc>
          <w:tcPr>
            <w:tcW w:w="5599" w:type="dxa"/>
            <w:gridSpan w:val="3"/>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rsidR="00E27B5E" w:rsidRPr="000A4D81" w:rsidRDefault="00E27B5E" w:rsidP="00E27B5E">
            <w:pPr>
              <w:jc w:val="center"/>
              <w:rPr>
                <w:rFonts w:eastAsia="Times New Roman"/>
                <w:b/>
                <w:bCs/>
                <w:szCs w:val="20"/>
                <w:lang w:eastAsia="pt-BR"/>
              </w:rPr>
            </w:pPr>
            <w:r w:rsidRPr="000A4D81">
              <w:rPr>
                <w:rFonts w:eastAsia="Times New Roman"/>
                <w:b/>
                <w:bCs/>
                <w:szCs w:val="20"/>
                <w:lang w:eastAsia="pt-BR"/>
              </w:rPr>
              <w:t>BDI =</w:t>
            </w:r>
            <w:proofErr w:type="gramStart"/>
            <w:r w:rsidRPr="000A4D81">
              <w:rPr>
                <w:rFonts w:eastAsia="Times New Roman"/>
                <w:b/>
                <w:bCs/>
                <w:szCs w:val="20"/>
                <w:lang w:eastAsia="pt-BR"/>
              </w:rPr>
              <w:t>(</w:t>
            </w:r>
            <w:proofErr w:type="gramEnd"/>
            <w:r w:rsidRPr="000A4D81">
              <w:rPr>
                <w:rFonts w:eastAsia="Times New Roman"/>
                <w:b/>
                <w:bCs/>
                <w:szCs w:val="20"/>
                <w:lang w:eastAsia="pt-BR"/>
              </w:rPr>
              <w:t>((1+A4+A1+A2)*(1+A3)*(1+B1))/(1-C))-1</w:t>
            </w:r>
          </w:p>
        </w:tc>
        <w:tc>
          <w:tcPr>
            <w:tcW w:w="425" w:type="dxa"/>
            <w:tcBorders>
              <w:top w:val="nil"/>
              <w:left w:val="nil"/>
              <w:bottom w:val="nil"/>
              <w:right w:val="nil"/>
            </w:tcBorders>
            <w:shd w:val="clear" w:color="auto" w:fill="auto"/>
            <w:noWrap/>
            <w:vAlign w:val="center"/>
            <w:hideMark/>
          </w:tcPr>
          <w:p w:rsidR="00E27B5E" w:rsidRPr="000A4D81" w:rsidRDefault="00E27B5E" w:rsidP="00E27B5E">
            <w:pPr>
              <w:jc w:val="center"/>
              <w:rPr>
                <w:rFonts w:eastAsia="Times New Roman"/>
                <w:b/>
                <w:bCs/>
                <w:szCs w:val="20"/>
                <w:lang w:eastAsia="pt-BR"/>
              </w:rPr>
            </w:pPr>
          </w:p>
        </w:tc>
        <w:tc>
          <w:tcPr>
            <w:tcW w:w="1134" w:type="dxa"/>
            <w:tcBorders>
              <w:top w:val="nil"/>
              <w:left w:val="nil"/>
              <w:bottom w:val="nil"/>
              <w:right w:val="nil"/>
            </w:tcBorders>
            <w:shd w:val="clear" w:color="auto" w:fill="auto"/>
            <w:noWrap/>
            <w:vAlign w:val="center"/>
            <w:hideMark/>
          </w:tcPr>
          <w:p w:rsidR="00E27B5E" w:rsidRPr="000A4D81" w:rsidRDefault="00E27B5E" w:rsidP="00E27B5E">
            <w:pPr>
              <w:jc w:val="left"/>
              <w:rPr>
                <w:rFonts w:eastAsia="Times New Roman"/>
                <w:szCs w:val="20"/>
                <w:lang w:eastAsia="pt-BR"/>
              </w:rPr>
            </w:pPr>
          </w:p>
        </w:tc>
        <w:tc>
          <w:tcPr>
            <w:tcW w:w="960" w:type="dxa"/>
            <w:tcBorders>
              <w:top w:val="nil"/>
              <w:left w:val="nil"/>
              <w:bottom w:val="nil"/>
              <w:right w:val="nil"/>
            </w:tcBorders>
            <w:shd w:val="clear" w:color="auto" w:fill="auto"/>
            <w:noWrap/>
            <w:vAlign w:val="center"/>
            <w:hideMark/>
          </w:tcPr>
          <w:p w:rsidR="00E27B5E" w:rsidRPr="000A4D81" w:rsidRDefault="00E27B5E" w:rsidP="00E27B5E">
            <w:pPr>
              <w:jc w:val="left"/>
              <w:rPr>
                <w:rFonts w:eastAsia="Times New Roman"/>
                <w:szCs w:val="20"/>
                <w:lang w:eastAsia="pt-BR"/>
              </w:rPr>
            </w:pPr>
          </w:p>
        </w:tc>
        <w:tc>
          <w:tcPr>
            <w:tcW w:w="1020" w:type="dxa"/>
            <w:tcBorders>
              <w:top w:val="nil"/>
              <w:left w:val="nil"/>
              <w:bottom w:val="nil"/>
              <w:right w:val="nil"/>
            </w:tcBorders>
            <w:shd w:val="clear" w:color="auto" w:fill="auto"/>
            <w:noWrap/>
            <w:vAlign w:val="center"/>
            <w:hideMark/>
          </w:tcPr>
          <w:p w:rsidR="00E27B5E" w:rsidRPr="000A4D81" w:rsidRDefault="00E27B5E" w:rsidP="00E27B5E">
            <w:pPr>
              <w:jc w:val="left"/>
              <w:rPr>
                <w:rFonts w:eastAsia="Times New Roman"/>
                <w:szCs w:val="20"/>
                <w:lang w:eastAsia="pt-BR"/>
              </w:rPr>
            </w:pPr>
          </w:p>
        </w:tc>
        <w:tc>
          <w:tcPr>
            <w:tcW w:w="713" w:type="dxa"/>
            <w:tcBorders>
              <w:top w:val="nil"/>
              <w:left w:val="nil"/>
              <w:bottom w:val="nil"/>
              <w:right w:val="single" w:sz="8" w:space="0" w:color="auto"/>
            </w:tcBorders>
            <w:shd w:val="clear" w:color="auto" w:fill="auto"/>
            <w:noWrap/>
            <w:vAlign w:val="center"/>
            <w:hideMark/>
          </w:tcPr>
          <w:p w:rsidR="00E27B5E" w:rsidRPr="000A4D81" w:rsidRDefault="00E27B5E" w:rsidP="00E27B5E">
            <w:pPr>
              <w:jc w:val="left"/>
              <w:rPr>
                <w:rFonts w:eastAsia="Times New Roman"/>
                <w:szCs w:val="20"/>
                <w:lang w:eastAsia="pt-BR"/>
              </w:rPr>
            </w:pPr>
            <w:r w:rsidRPr="000A4D81">
              <w:rPr>
                <w:rFonts w:eastAsia="Times New Roman"/>
                <w:szCs w:val="20"/>
                <w:lang w:eastAsia="pt-BR"/>
              </w:rPr>
              <w:t> </w:t>
            </w:r>
          </w:p>
        </w:tc>
      </w:tr>
      <w:tr w:rsidR="00E27B5E" w:rsidRPr="000A4D81" w:rsidTr="00E27B5E">
        <w:trPr>
          <w:trHeight w:val="270"/>
        </w:trPr>
        <w:tc>
          <w:tcPr>
            <w:tcW w:w="5599" w:type="dxa"/>
            <w:gridSpan w:val="3"/>
            <w:vMerge/>
            <w:tcBorders>
              <w:top w:val="single" w:sz="8" w:space="0" w:color="auto"/>
              <w:left w:val="single" w:sz="8" w:space="0" w:color="auto"/>
              <w:bottom w:val="single" w:sz="8" w:space="0" w:color="000000"/>
              <w:right w:val="single" w:sz="8" w:space="0" w:color="000000"/>
            </w:tcBorders>
            <w:vAlign w:val="center"/>
            <w:hideMark/>
          </w:tcPr>
          <w:p w:rsidR="00E27B5E" w:rsidRPr="000A4D81" w:rsidRDefault="00E27B5E" w:rsidP="00E27B5E">
            <w:pPr>
              <w:jc w:val="left"/>
              <w:rPr>
                <w:rFonts w:eastAsia="Times New Roman"/>
                <w:b/>
                <w:bCs/>
                <w:szCs w:val="20"/>
                <w:lang w:eastAsia="pt-BR"/>
              </w:rPr>
            </w:pPr>
          </w:p>
        </w:tc>
        <w:tc>
          <w:tcPr>
            <w:tcW w:w="425" w:type="dxa"/>
            <w:tcBorders>
              <w:top w:val="nil"/>
              <w:left w:val="nil"/>
              <w:bottom w:val="nil"/>
              <w:right w:val="nil"/>
            </w:tcBorders>
            <w:shd w:val="clear" w:color="auto" w:fill="auto"/>
            <w:noWrap/>
            <w:vAlign w:val="center"/>
            <w:hideMark/>
          </w:tcPr>
          <w:p w:rsidR="00E27B5E" w:rsidRPr="000A4D81" w:rsidRDefault="00E27B5E" w:rsidP="00E27B5E">
            <w:pPr>
              <w:jc w:val="center"/>
              <w:rPr>
                <w:rFonts w:eastAsia="Times New Roman"/>
                <w:b/>
                <w:bCs/>
                <w:szCs w:val="20"/>
                <w:lang w:eastAsia="pt-BR"/>
              </w:rPr>
            </w:pPr>
          </w:p>
        </w:tc>
        <w:tc>
          <w:tcPr>
            <w:tcW w:w="1134" w:type="dxa"/>
            <w:tcBorders>
              <w:top w:val="nil"/>
              <w:left w:val="nil"/>
              <w:bottom w:val="nil"/>
              <w:right w:val="nil"/>
            </w:tcBorders>
            <w:shd w:val="clear" w:color="auto" w:fill="auto"/>
            <w:noWrap/>
            <w:vAlign w:val="center"/>
            <w:hideMark/>
          </w:tcPr>
          <w:p w:rsidR="00E27B5E" w:rsidRPr="000A4D81" w:rsidRDefault="00E27B5E" w:rsidP="00E27B5E">
            <w:pPr>
              <w:jc w:val="left"/>
              <w:rPr>
                <w:rFonts w:eastAsia="Times New Roman"/>
                <w:szCs w:val="20"/>
                <w:lang w:eastAsia="pt-BR"/>
              </w:rPr>
            </w:pPr>
          </w:p>
        </w:tc>
        <w:tc>
          <w:tcPr>
            <w:tcW w:w="960" w:type="dxa"/>
            <w:tcBorders>
              <w:top w:val="nil"/>
              <w:left w:val="nil"/>
              <w:bottom w:val="nil"/>
              <w:right w:val="nil"/>
            </w:tcBorders>
            <w:shd w:val="clear" w:color="auto" w:fill="auto"/>
            <w:noWrap/>
            <w:vAlign w:val="center"/>
            <w:hideMark/>
          </w:tcPr>
          <w:p w:rsidR="00E27B5E" w:rsidRPr="000A4D81" w:rsidRDefault="00E27B5E" w:rsidP="00E27B5E">
            <w:pPr>
              <w:jc w:val="left"/>
              <w:rPr>
                <w:rFonts w:eastAsia="Times New Roman"/>
                <w:szCs w:val="20"/>
                <w:lang w:eastAsia="pt-BR"/>
              </w:rPr>
            </w:pPr>
          </w:p>
        </w:tc>
        <w:tc>
          <w:tcPr>
            <w:tcW w:w="1020" w:type="dxa"/>
            <w:tcBorders>
              <w:top w:val="nil"/>
              <w:left w:val="nil"/>
              <w:bottom w:val="nil"/>
              <w:right w:val="nil"/>
            </w:tcBorders>
            <w:shd w:val="clear" w:color="auto" w:fill="auto"/>
            <w:noWrap/>
            <w:vAlign w:val="center"/>
            <w:hideMark/>
          </w:tcPr>
          <w:p w:rsidR="00E27B5E" w:rsidRPr="000A4D81" w:rsidRDefault="00E27B5E" w:rsidP="00E27B5E">
            <w:pPr>
              <w:jc w:val="left"/>
              <w:rPr>
                <w:rFonts w:eastAsia="Times New Roman"/>
                <w:szCs w:val="20"/>
                <w:lang w:eastAsia="pt-BR"/>
              </w:rPr>
            </w:pPr>
          </w:p>
        </w:tc>
        <w:tc>
          <w:tcPr>
            <w:tcW w:w="713" w:type="dxa"/>
            <w:tcBorders>
              <w:top w:val="nil"/>
              <w:left w:val="nil"/>
              <w:bottom w:val="nil"/>
              <w:right w:val="single" w:sz="8" w:space="0" w:color="auto"/>
            </w:tcBorders>
            <w:shd w:val="clear" w:color="auto" w:fill="auto"/>
            <w:noWrap/>
            <w:vAlign w:val="center"/>
            <w:hideMark/>
          </w:tcPr>
          <w:p w:rsidR="00E27B5E" w:rsidRPr="000A4D81" w:rsidRDefault="00E27B5E" w:rsidP="00E27B5E">
            <w:pPr>
              <w:jc w:val="left"/>
              <w:rPr>
                <w:rFonts w:eastAsia="Times New Roman"/>
                <w:szCs w:val="20"/>
                <w:lang w:eastAsia="pt-BR"/>
              </w:rPr>
            </w:pPr>
            <w:r w:rsidRPr="000A4D81">
              <w:rPr>
                <w:rFonts w:eastAsia="Times New Roman"/>
                <w:szCs w:val="20"/>
                <w:lang w:eastAsia="pt-BR"/>
              </w:rPr>
              <w:t> </w:t>
            </w:r>
          </w:p>
        </w:tc>
      </w:tr>
      <w:tr w:rsidR="00E27B5E" w:rsidRPr="000A4D81" w:rsidTr="00E27B5E">
        <w:trPr>
          <w:trHeight w:val="315"/>
        </w:trPr>
        <w:tc>
          <w:tcPr>
            <w:tcW w:w="4567" w:type="dxa"/>
            <w:gridSpan w:val="2"/>
            <w:vMerge w:val="restart"/>
            <w:tcBorders>
              <w:top w:val="single" w:sz="8" w:space="0" w:color="auto"/>
              <w:left w:val="single" w:sz="8" w:space="0" w:color="auto"/>
              <w:bottom w:val="single" w:sz="8" w:space="0" w:color="000000"/>
              <w:right w:val="nil"/>
            </w:tcBorders>
            <w:shd w:val="clear" w:color="auto" w:fill="auto"/>
            <w:noWrap/>
            <w:vAlign w:val="center"/>
            <w:hideMark/>
          </w:tcPr>
          <w:p w:rsidR="00E27B5E" w:rsidRPr="000A4D81" w:rsidRDefault="00E27B5E" w:rsidP="00E27B5E">
            <w:pPr>
              <w:jc w:val="center"/>
              <w:rPr>
                <w:rFonts w:eastAsia="Times New Roman"/>
                <w:b/>
                <w:bCs/>
                <w:sz w:val="24"/>
                <w:lang w:eastAsia="pt-BR"/>
              </w:rPr>
            </w:pPr>
            <w:r w:rsidRPr="000A4D81">
              <w:rPr>
                <w:rFonts w:eastAsia="Times New Roman"/>
                <w:b/>
                <w:bCs/>
                <w:sz w:val="24"/>
                <w:lang w:eastAsia="pt-BR"/>
              </w:rPr>
              <w:t>Bonificação Sobre Despesas indiretas (</w:t>
            </w:r>
            <w:proofErr w:type="spellStart"/>
            <w:proofErr w:type="gramStart"/>
            <w:r w:rsidRPr="000A4D81">
              <w:rPr>
                <w:rFonts w:eastAsia="Times New Roman"/>
                <w:b/>
                <w:bCs/>
                <w:sz w:val="24"/>
                <w:lang w:eastAsia="pt-BR"/>
              </w:rPr>
              <w:t>B.D.</w:t>
            </w:r>
            <w:proofErr w:type="spellEnd"/>
            <w:proofErr w:type="gramEnd"/>
            <w:r w:rsidRPr="000A4D81">
              <w:rPr>
                <w:rFonts w:eastAsia="Times New Roman"/>
                <w:b/>
                <w:bCs/>
                <w:sz w:val="24"/>
                <w:lang w:eastAsia="pt-BR"/>
              </w:rPr>
              <w:t>I) =</w:t>
            </w:r>
          </w:p>
        </w:tc>
        <w:tc>
          <w:tcPr>
            <w:tcW w:w="1032" w:type="dxa"/>
            <w:vMerge w:val="restart"/>
            <w:tcBorders>
              <w:top w:val="single" w:sz="4" w:space="0" w:color="auto"/>
              <w:left w:val="single" w:sz="4" w:space="0" w:color="auto"/>
              <w:bottom w:val="single" w:sz="8" w:space="0" w:color="000000"/>
              <w:right w:val="single" w:sz="4" w:space="0" w:color="auto"/>
            </w:tcBorders>
            <w:shd w:val="clear" w:color="000000" w:fill="D7E4BC"/>
            <w:noWrap/>
            <w:vAlign w:val="center"/>
            <w:hideMark/>
          </w:tcPr>
          <w:p w:rsidR="00E27B5E" w:rsidRPr="000A4D81" w:rsidRDefault="00E27B5E" w:rsidP="00E27B5E">
            <w:pPr>
              <w:jc w:val="center"/>
              <w:rPr>
                <w:rFonts w:eastAsia="Times New Roman"/>
                <w:b/>
                <w:bCs/>
                <w:sz w:val="24"/>
                <w:lang w:eastAsia="pt-BR"/>
              </w:rPr>
            </w:pPr>
            <w:r w:rsidRPr="000A4D81">
              <w:rPr>
                <w:rFonts w:eastAsia="Times New Roman"/>
                <w:b/>
                <w:bCs/>
                <w:sz w:val="24"/>
                <w:lang w:eastAsia="pt-BR"/>
              </w:rPr>
              <w:t>23,75%</w:t>
            </w:r>
          </w:p>
        </w:tc>
        <w:tc>
          <w:tcPr>
            <w:tcW w:w="425" w:type="dxa"/>
            <w:tcBorders>
              <w:top w:val="nil"/>
              <w:left w:val="nil"/>
              <w:bottom w:val="nil"/>
              <w:right w:val="nil"/>
            </w:tcBorders>
            <w:shd w:val="clear" w:color="auto" w:fill="auto"/>
            <w:noWrap/>
            <w:vAlign w:val="center"/>
            <w:hideMark/>
          </w:tcPr>
          <w:p w:rsidR="00E27B5E" w:rsidRPr="000A4D81" w:rsidRDefault="00E27B5E" w:rsidP="00E27B5E">
            <w:pPr>
              <w:jc w:val="left"/>
              <w:rPr>
                <w:rFonts w:eastAsia="Times New Roman"/>
                <w:b/>
                <w:bCs/>
                <w:sz w:val="24"/>
                <w:lang w:eastAsia="pt-BR"/>
              </w:rPr>
            </w:pPr>
          </w:p>
        </w:tc>
        <w:tc>
          <w:tcPr>
            <w:tcW w:w="1134" w:type="dxa"/>
            <w:tcBorders>
              <w:top w:val="nil"/>
              <w:left w:val="nil"/>
              <w:bottom w:val="nil"/>
              <w:right w:val="nil"/>
            </w:tcBorders>
            <w:shd w:val="clear" w:color="auto" w:fill="auto"/>
            <w:noWrap/>
            <w:vAlign w:val="center"/>
            <w:hideMark/>
          </w:tcPr>
          <w:p w:rsidR="00E27B5E" w:rsidRPr="000A4D81" w:rsidRDefault="00E27B5E" w:rsidP="00E27B5E">
            <w:pPr>
              <w:jc w:val="left"/>
              <w:rPr>
                <w:rFonts w:eastAsia="Times New Roman"/>
                <w:szCs w:val="20"/>
                <w:lang w:eastAsia="pt-BR"/>
              </w:rPr>
            </w:pPr>
          </w:p>
        </w:tc>
        <w:tc>
          <w:tcPr>
            <w:tcW w:w="960" w:type="dxa"/>
            <w:tcBorders>
              <w:top w:val="nil"/>
              <w:left w:val="nil"/>
              <w:bottom w:val="nil"/>
              <w:right w:val="nil"/>
            </w:tcBorders>
            <w:shd w:val="clear" w:color="auto" w:fill="auto"/>
            <w:noWrap/>
            <w:vAlign w:val="center"/>
            <w:hideMark/>
          </w:tcPr>
          <w:p w:rsidR="00E27B5E" w:rsidRPr="000A4D81" w:rsidRDefault="00E27B5E" w:rsidP="00E27B5E">
            <w:pPr>
              <w:jc w:val="left"/>
              <w:rPr>
                <w:rFonts w:eastAsia="Times New Roman"/>
                <w:szCs w:val="20"/>
                <w:lang w:eastAsia="pt-BR"/>
              </w:rPr>
            </w:pPr>
          </w:p>
        </w:tc>
        <w:tc>
          <w:tcPr>
            <w:tcW w:w="1020" w:type="dxa"/>
            <w:tcBorders>
              <w:top w:val="nil"/>
              <w:left w:val="nil"/>
              <w:bottom w:val="nil"/>
              <w:right w:val="nil"/>
            </w:tcBorders>
            <w:shd w:val="clear" w:color="auto" w:fill="auto"/>
            <w:noWrap/>
            <w:vAlign w:val="center"/>
            <w:hideMark/>
          </w:tcPr>
          <w:p w:rsidR="00E27B5E" w:rsidRPr="000A4D81" w:rsidRDefault="00E27B5E" w:rsidP="00E27B5E">
            <w:pPr>
              <w:jc w:val="left"/>
              <w:rPr>
                <w:rFonts w:eastAsia="Times New Roman"/>
                <w:szCs w:val="20"/>
                <w:lang w:eastAsia="pt-BR"/>
              </w:rPr>
            </w:pPr>
          </w:p>
        </w:tc>
        <w:tc>
          <w:tcPr>
            <w:tcW w:w="713" w:type="dxa"/>
            <w:tcBorders>
              <w:top w:val="nil"/>
              <w:left w:val="nil"/>
              <w:bottom w:val="nil"/>
              <w:right w:val="single" w:sz="8" w:space="0" w:color="auto"/>
            </w:tcBorders>
            <w:shd w:val="clear" w:color="auto" w:fill="auto"/>
            <w:noWrap/>
            <w:vAlign w:val="center"/>
            <w:hideMark/>
          </w:tcPr>
          <w:p w:rsidR="00E27B5E" w:rsidRPr="000A4D81" w:rsidRDefault="00E27B5E" w:rsidP="00E27B5E">
            <w:pPr>
              <w:jc w:val="left"/>
              <w:rPr>
                <w:rFonts w:eastAsia="Times New Roman"/>
                <w:szCs w:val="20"/>
                <w:lang w:eastAsia="pt-BR"/>
              </w:rPr>
            </w:pPr>
            <w:r w:rsidRPr="000A4D81">
              <w:rPr>
                <w:rFonts w:eastAsia="Times New Roman"/>
                <w:szCs w:val="20"/>
                <w:lang w:eastAsia="pt-BR"/>
              </w:rPr>
              <w:t> </w:t>
            </w:r>
          </w:p>
        </w:tc>
      </w:tr>
      <w:tr w:rsidR="00E27B5E" w:rsidRPr="000A4D81" w:rsidTr="00E27B5E">
        <w:trPr>
          <w:trHeight w:val="330"/>
        </w:trPr>
        <w:tc>
          <w:tcPr>
            <w:tcW w:w="4567" w:type="dxa"/>
            <w:gridSpan w:val="2"/>
            <w:vMerge/>
            <w:tcBorders>
              <w:top w:val="single" w:sz="8" w:space="0" w:color="auto"/>
              <w:left w:val="single" w:sz="8" w:space="0" w:color="auto"/>
              <w:bottom w:val="single" w:sz="8" w:space="0" w:color="000000"/>
              <w:right w:val="nil"/>
            </w:tcBorders>
            <w:vAlign w:val="center"/>
            <w:hideMark/>
          </w:tcPr>
          <w:p w:rsidR="00E27B5E" w:rsidRPr="000A4D81" w:rsidRDefault="00E27B5E" w:rsidP="00E27B5E">
            <w:pPr>
              <w:jc w:val="left"/>
              <w:rPr>
                <w:rFonts w:eastAsia="Times New Roman"/>
                <w:b/>
                <w:bCs/>
                <w:sz w:val="24"/>
                <w:lang w:eastAsia="pt-BR"/>
              </w:rPr>
            </w:pPr>
          </w:p>
        </w:tc>
        <w:tc>
          <w:tcPr>
            <w:tcW w:w="1032" w:type="dxa"/>
            <w:vMerge/>
            <w:tcBorders>
              <w:top w:val="single" w:sz="4" w:space="0" w:color="auto"/>
              <w:left w:val="single" w:sz="4" w:space="0" w:color="auto"/>
              <w:bottom w:val="single" w:sz="8" w:space="0" w:color="000000"/>
              <w:right w:val="single" w:sz="4" w:space="0" w:color="auto"/>
            </w:tcBorders>
            <w:vAlign w:val="center"/>
            <w:hideMark/>
          </w:tcPr>
          <w:p w:rsidR="00E27B5E" w:rsidRPr="000A4D81" w:rsidRDefault="00E27B5E" w:rsidP="00E27B5E">
            <w:pPr>
              <w:jc w:val="left"/>
              <w:rPr>
                <w:rFonts w:eastAsia="Times New Roman"/>
                <w:b/>
                <w:bCs/>
                <w:sz w:val="24"/>
                <w:lang w:eastAsia="pt-BR"/>
              </w:rPr>
            </w:pPr>
          </w:p>
        </w:tc>
        <w:tc>
          <w:tcPr>
            <w:tcW w:w="425" w:type="dxa"/>
            <w:tcBorders>
              <w:top w:val="nil"/>
              <w:left w:val="nil"/>
              <w:bottom w:val="single" w:sz="8" w:space="0" w:color="auto"/>
              <w:right w:val="nil"/>
            </w:tcBorders>
            <w:shd w:val="clear" w:color="auto" w:fill="auto"/>
            <w:noWrap/>
            <w:vAlign w:val="center"/>
            <w:hideMark/>
          </w:tcPr>
          <w:p w:rsidR="00E27B5E" w:rsidRPr="000A4D81" w:rsidRDefault="00E27B5E" w:rsidP="00E27B5E">
            <w:pPr>
              <w:jc w:val="left"/>
              <w:rPr>
                <w:rFonts w:eastAsia="Times New Roman"/>
                <w:b/>
                <w:bCs/>
                <w:sz w:val="24"/>
                <w:lang w:eastAsia="pt-BR"/>
              </w:rPr>
            </w:pPr>
            <w:r w:rsidRPr="000A4D81">
              <w:rPr>
                <w:rFonts w:eastAsia="Times New Roman"/>
                <w:b/>
                <w:bCs/>
                <w:sz w:val="24"/>
                <w:lang w:eastAsia="pt-BR"/>
              </w:rPr>
              <w:t> </w:t>
            </w:r>
          </w:p>
        </w:tc>
        <w:tc>
          <w:tcPr>
            <w:tcW w:w="1134" w:type="dxa"/>
            <w:tcBorders>
              <w:top w:val="nil"/>
              <w:left w:val="nil"/>
              <w:bottom w:val="single" w:sz="8" w:space="0" w:color="auto"/>
              <w:right w:val="nil"/>
            </w:tcBorders>
            <w:shd w:val="clear" w:color="auto" w:fill="auto"/>
            <w:noWrap/>
            <w:vAlign w:val="center"/>
            <w:hideMark/>
          </w:tcPr>
          <w:p w:rsidR="00E27B5E" w:rsidRPr="000A4D81" w:rsidRDefault="00E27B5E" w:rsidP="00E27B5E">
            <w:pPr>
              <w:jc w:val="left"/>
              <w:rPr>
                <w:rFonts w:eastAsia="Times New Roman"/>
                <w:szCs w:val="20"/>
                <w:lang w:eastAsia="pt-BR"/>
              </w:rPr>
            </w:pPr>
            <w:r w:rsidRPr="000A4D81">
              <w:rPr>
                <w:rFonts w:eastAsia="Times New Roman"/>
                <w:szCs w:val="20"/>
                <w:lang w:eastAsia="pt-BR"/>
              </w:rPr>
              <w:t> </w:t>
            </w:r>
          </w:p>
        </w:tc>
        <w:tc>
          <w:tcPr>
            <w:tcW w:w="960" w:type="dxa"/>
            <w:tcBorders>
              <w:top w:val="nil"/>
              <w:left w:val="nil"/>
              <w:bottom w:val="single" w:sz="8" w:space="0" w:color="auto"/>
              <w:right w:val="nil"/>
            </w:tcBorders>
            <w:shd w:val="clear" w:color="auto" w:fill="auto"/>
            <w:noWrap/>
            <w:vAlign w:val="center"/>
            <w:hideMark/>
          </w:tcPr>
          <w:p w:rsidR="00E27B5E" w:rsidRPr="000A4D81" w:rsidRDefault="00E27B5E" w:rsidP="00E27B5E">
            <w:pPr>
              <w:jc w:val="left"/>
              <w:rPr>
                <w:rFonts w:eastAsia="Times New Roman"/>
                <w:szCs w:val="20"/>
                <w:lang w:eastAsia="pt-BR"/>
              </w:rPr>
            </w:pPr>
            <w:r w:rsidRPr="000A4D81">
              <w:rPr>
                <w:rFonts w:eastAsia="Times New Roman"/>
                <w:szCs w:val="20"/>
                <w:lang w:eastAsia="pt-BR"/>
              </w:rPr>
              <w:t> </w:t>
            </w:r>
          </w:p>
        </w:tc>
        <w:tc>
          <w:tcPr>
            <w:tcW w:w="1020" w:type="dxa"/>
            <w:tcBorders>
              <w:top w:val="nil"/>
              <w:left w:val="nil"/>
              <w:bottom w:val="single" w:sz="8" w:space="0" w:color="auto"/>
              <w:right w:val="nil"/>
            </w:tcBorders>
            <w:shd w:val="clear" w:color="auto" w:fill="auto"/>
            <w:noWrap/>
            <w:vAlign w:val="center"/>
            <w:hideMark/>
          </w:tcPr>
          <w:p w:rsidR="00E27B5E" w:rsidRPr="000A4D81" w:rsidRDefault="00E27B5E" w:rsidP="00E27B5E">
            <w:pPr>
              <w:jc w:val="left"/>
              <w:rPr>
                <w:rFonts w:eastAsia="Times New Roman"/>
                <w:szCs w:val="20"/>
                <w:lang w:eastAsia="pt-BR"/>
              </w:rPr>
            </w:pPr>
            <w:r w:rsidRPr="000A4D81">
              <w:rPr>
                <w:rFonts w:eastAsia="Times New Roman"/>
                <w:szCs w:val="20"/>
                <w:lang w:eastAsia="pt-BR"/>
              </w:rPr>
              <w:t> </w:t>
            </w:r>
          </w:p>
        </w:tc>
        <w:tc>
          <w:tcPr>
            <w:tcW w:w="713" w:type="dxa"/>
            <w:tcBorders>
              <w:top w:val="nil"/>
              <w:left w:val="nil"/>
              <w:bottom w:val="single" w:sz="8" w:space="0" w:color="auto"/>
              <w:right w:val="single" w:sz="8" w:space="0" w:color="auto"/>
            </w:tcBorders>
            <w:shd w:val="clear" w:color="auto" w:fill="auto"/>
            <w:noWrap/>
            <w:vAlign w:val="center"/>
            <w:hideMark/>
          </w:tcPr>
          <w:p w:rsidR="00E27B5E" w:rsidRPr="000A4D81" w:rsidRDefault="00E27B5E" w:rsidP="00E27B5E">
            <w:pPr>
              <w:jc w:val="left"/>
              <w:rPr>
                <w:rFonts w:eastAsia="Times New Roman"/>
                <w:szCs w:val="20"/>
                <w:lang w:eastAsia="pt-BR"/>
              </w:rPr>
            </w:pPr>
            <w:r w:rsidRPr="000A4D81">
              <w:rPr>
                <w:rFonts w:eastAsia="Times New Roman"/>
                <w:szCs w:val="20"/>
                <w:lang w:eastAsia="pt-BR"/>
              </w:rPr>
              <w:t> </w:t>
            </w:r>
          </w:p>
        </w:tc>
      </w:tr>
    </w:tbl>
    <w:p w:rsidR="000A4D81" w:rsidRDefault="000A4D81" w:rsidP="005B0B09">
      <w:bookmarkStart w:id="50" w:name="_Ref450205759"/>
      <w:bookmarkStart w:id="51" w:name="_Ref450206152"/>
      <w:bookmarkStart w:id="52" w:name="_Toc352230698"/>
    </w:p>
    <w:p w:rsidR="000A4D81" w:rsidRDefault="000A4D81" w:rsidP="00123C9F">
      <w:pPr>
        <w:pStyle w:val="Legenda"/>
      </w:pPr>
    </w:p>
    <w:p w:rsidR="00797B58" w:rsidRPr="00EB3286" w:rsidRDefault="00123C9F" w:rsidP="00D458BF">
      <w:pPr>
        <w:pStyle w:val="Legenda"/>
        <w:rPr>
          <w:szCs w:val="20"/>
        </w:rPr>
      </w:pPr>
      <w:r>
        <w:t xml:space="preserve">Anexo </w:t>
      </w:r>
      <w:bookmarkEnd w:id="50"/>
      <w:r w:rsidR="009B3D65">
        <w:t>I</w:t>
      </w:r>
      <w:r w:rsidR="005952E6">
        <w:t>V</w:t>
      </w:r>
      <w:r w:rsidR="00D41CBA">
        <w:rPr>
          <w:szCs w:val="20"/>
        </w:rPr>
        <w:t>: Desenhos e memoriais</w:t>
      </w:r>
      <w:bookmarkEnd w:id="51"/>
      <w:r w:rsidR="004D1880">
        <w:rPr>
          <w:szCs w:val="20"/>
        </w:rPr>
        <w:br/>
      </w:r>
      <w:r w:rsidR="004D1880">
        <w:rPr>
          <w:szCs w:val="20"/>
        </w:rPr>
        <w:br/>
      </w:r>
    </w:p>
    <w:bookmarkEnd w:id="52"/>
    <w:p w:rsidR="00D458BF" w:rsidRDefault="00D458BF" w:rsidP="00D458BF">
      <w:pPr>
        <w:jc w:val="center"/>
        <w:rPr>
          <w:szCs w:val="20"/>
        </w:rPr>
      </w:pPr>
    </w:p>
    <w:p w:rsidR="00D458BF" w:rsidRDefault="00D458BF" w:rsidP="00D458BF">
      <w:pPr>
        <w:jc w:val="center"/>
        <w:rPr>
          <w:szCs w:val="20"/>
        </w:rPr>
      </w:pPr>
    </w:p>
    <w:p w:rsidR="00D458BF" w:rsidRDefault="00D458BF" w:rsidP="00D458BF">
      <w:pPr>
        <w:jc w:val="center"/>
        <w:rPr>
          <w:szCs w:val="20"/>
        </w:rPr>
      </w:pPr>
    </w:p>
    <w:p w:rsidR="00D458BF" w:rsidRDefault="00D458BF" w:rsidP="00D458BF">
      <w:pPr>
        <w:jc w:val="center"/>
        <w:rPr>
          <w:szCs w:val="20"/>
        </w:rPr>
      </w:pPr>
    </w:p>
    <w:p w:rsidR="00D458BF" w:rsidRDefault="00D458BF" w:rsidP="00D458BF">
      <w:pPr>
        <w:jc w:val="center"/>
        <w:rPr>
          <w:szCs w:val="20"/>
        </w:rPr>
      </w:pPr>
    </w:p>
    <w:p w:rsidR="00797B58" w:rsidRPr="00EB3286" w:rsidRDefault="00797B58" w:rsidP="00D458BF">
      <w:pPr>
        <w:jc w:val="center"/>
        <w:rPr>
          <w:b/>
          <w:szCs w:val="20"/>
        </w:rPr>
      </w:pPr>
      <w:r w:rsidRPr="00EB3286">
        <w:rPr>
          <w:b/>
          <w:szCs w:val="20"/>
        </w:rPr>
        <w:t>DESENHOS E MEMORIAIS – NORMAS/ESPECIFICAÇÕES TÉCNICAS</w:t>
      </w:r>
    </w:p>
    <w:p w:rsidR="00797B58" w:rsidRPr="00EB3286" w:rsidRDefault="00797B58" w:rsidP="00D458BF">
      <w:pPr>
        <w:jc w:val="center"/>
        <w:rPr>
          <w:szCs w:val="20"/>
        </w:rPr>
      </w:pPr>
    </w:p>
    <w:p w:rsidR="00797B58" w:rsidRPr="00EB3286" w:rsidRDefault="00797B58" w:rsidP="00D458BF">
      <w:pPr>
        <w:jc w:val="center"/>
        <w:rPr>
          <w:szCs w:val="20"/>
        </w:rPr>
      </w:pPr>
    </w:p>
    <w:p w:rsidR="004262A9" w:rsidRPr="009611ED" w:rsidRDefault="009611ED" w:rsidP="00D458BF">
      <w:pPr>
        <w:jc w:val="center"/>
        <w:rPr>
          <w:b/>
          <w:szCs w:val="20"/>
        </w:rPr>
      </w:pPr>
      <w:r>
        <w:rPr>
          <w:b/>
          <w:szCs w:val="20"/>
        </w:rPr>
        <w:t>(GRAVADO EM ARQUIVO SEPARADO</w:t>
      </w:r>
      <w:proofErr w:type="gramStart"/>
      <w:r>
        <w:rPr>
          <w:b/>
          <w:szCs w:val="20"/>
        </w:rPr>
        <w:t>)</w:t>
      </w:r>
      <w:proofErr w:type="gramEnd"/>
      <w:r w:rsidR="00797B58" w:rsidRPr="00EB3286">
        <w:rPr>
          <w:szCs w:val="20"/>
        </w:rPr>
        <w:br w:type="page"/>
      </w:r>
      <w:bookmarkStart w:id="53" w:name="_Ref450206111"/>
      <w:bookmarkStart w:id="54" w:name="_Ref450206154"/>
    </w:p>
    <w:p w:rsidR="004262A9" w:rsidRDefault="004262A9" w:rsidP="00123C9F">
      <w:pPr>
        <w:pStyle w:val="Legenda"/>
        <w:rPr>
          <w:szCs w:val="20"/>
        </w:rPr>
      </w:pPr>
    </w:p>
    <w:p w:rsidR="00E27B5E" w:rsidRDefault="00E27B5E" w:rsidP="00E27B5E"/>
    <w:p w:rsidR="00E27B5E" w:rsidRPr="00E27B5E" w:rsidRDefault="00E27B5E" w:rsidP="00E27B5E"/>
    <w:p w:rsidR="00797B58" w:rsidRPr="00EB3286" w:rsidRDefault="00123C9F" w:rsidP="00123C9F">
      <w:pPr>
        <w:pStyle w:val="Legenda"/>
        <w:rPr>
          <w:szCs w:val="20"/>
        </w:rPr>
      </w:pPr>
      <w:r>
        <w:t xml:space="preserve">Anexo </w:t>
      </w:r>
      <w:bookmarkEnd w:id="53"/>
      <w:r w:rsidR="009B3D65">
        <w:t>V</w:t>
      </w:r>
      <w:r w:rsidR="00D41CBA">
        <w:rPr>
          <w:szCs w:val="20"/>
        </w:rPr>
        <w:t>: Manual de Uso da Marca do Governo</w:t>
      </w:r>
      <w:bookmarkEnd w:id="54"/>
      <w:r w:rsidR="004D1880">
        <w:rPr>
          <w:szCs w:val="20"/>
        </w:rPr>
        <w:br/>
      </w:r>
      <w:r w:rsidR="004D1880">
        <w:rPr>
          <w:szCs w:val="20"/>
        </w:rPr>
        <w:br/>
      </w:r>
    </w:p>
    <w:p w:rsidR="00E27B5E" w:rsidRDefault="00E27B5E" w:rsidP="00E27B5E">
      <w:pPr>
        <w:rPr>
          <w:b/>
          <w:szCs w:val="20"/>
        </w:rPr>
      </w:pPr>
    </w:p>
    <w:p w:rsidR="00E27B5E" w:rsidRDefault="00E27B5E" w:rsidP="00E27B5E">
      <w:pPr>
        <w:jc w:val="center"/>
        <w:rPr>
          <w:b/>
          <w:szCs w:val="20"/>
        </w:rPr>
      </w:pPr>
    </w:p>
    <w:p w:rsidR="00E27B5E" w:rsidRDefault="00E27B5E" w:rsidP="00E27B5E">
      <w:pPr>
        <w:jc w:val="center"/>
        <w:rPr>
          <w:b/>
          <w:szCs w:val="20"/>
        </w:rPr>
      </w:pPr>
    </w:p>
    <w:p w:rsidR="00E27B5E" w:rsidRDefault="00E27B5E" w:rsidP="00E27B5E">
      <w:pPr>
        <w:jc w:val="center"/>
        <w:rPr>
          <w:b/>
          <w:szCs w:val="20"/>
        </w:rPr>
      </w:pPr>
    </w:p>
    <w:p w:rsidR="00E27B5E" w:rsidRDefault="00E27B5E" w:rsidP="00E27B5E">
      <w:pPr>
        <w:jc w:val="center"/>
        <w:rPr>
          <w:b/>
          <w:szCs w:val="20"/>
        </w:rPr>
      </w:pPr>
    </w:p>
    <w:p w:rsidR="00797B58" w:rsidRPr="00EB3286" w:rsidRDefault="00797B58" w:rsidP="00E27B5E">
      <w:pPr>
        <w:jc w:val="center"/>
        <w:rPr>
          <w:b/>
          <w:szCs w:val="20"/>
        </w:rPr>
      </w:pPr>
      <w:r w:rsidRPr="00EB3286">
        <w:rPr>
          <w:b/>
          <w:szCs w:val="20"/>
        </w:rPr>
        <w:t>Manual de Uso da Marca do Governo Federal</w:t>
      </w:r>
    </w:p>
    <w:p w:rsidR="00797B58" w:rsidRPr="00EB3286" w:rsidRDefault="00797B58" w:rsidP="00E27B5E">
      <w:pPr>
        <w:jc w:val="center"/>
        <w:rPr>
          <w:b/>
          <w:szCs w:val="20"/>
        </w:rPr>
      </w:pPr>
      <w:r w:rsidRPr="00EB3286">
        <w:rPr>
          <w:b/>
          <w:szCs w:val="20"/>
        </w:rPr>
        <w:t xml:space="preserve">(Modelo de Placas </w:t>
      </w:r>
      <w:r w:rsidR="00CF5060">
        <w:rPr>
          <w:b/>
          <w:szCs w:val="20"/>
        </w:rPr>
        <w:t>C</w:t>
      </w:r>
      <w:r w:rsidR="004F613D">
        <w:rPr>
          <w:b/>
          <w:szCs w:val="20"/>
        </w:rPr>
        <w:t>ODEVASF</w:t>
      </w:r>
      <w:r w:rsidRPr="00EB3286">
        <w:rPr>
          <w:b/>
          <w:szCs w:val="20"/>
        </w:rPr>
        <w:t>)</w:t>
      </w:r>
    </w:p>
    <w:p w:rsidR="00797B58" w:rsidRPr="00EB3286" w:rsidRDefault="00797B58" w:rsidP="00E27B5E">
      <w:pPr>
        <w:jc w:val="center"/>
        <w:rPr>
          <w:szCs w:val="20"/>
        </w:rPr>
      </w:pPr>
    </w:p>
    <w:p w:rsidR="00797B58" w:rsidRPr="00EB3286" w:rsidRDefault="00797B58" w:rsidP="00E27B5E">
      <w:pPr>
        <w:jc w:val="center"/>
        <w:rPr>
          <w:szCs w:val="20"/>
        </w:rPr>
      </w:pPr>
    </w:p>
    <w:p w:rsidR="00797B58" w:rsidRPr="00EB3286" w:rsidRDefault="00797B58" w:rsidP="00E27B5E">
      <w:pPr>
        <w:jc w:val="center"/>
        <w:rPr>
          <w:b/>
          <w:szCs w:val="20"/>
        </w:rPr>
      </w:pPr>
      <w:r w:rsidRPr="00EB3286">
        <w:rPr>
          <w:b/>
          <w:szCs w:val="20"/>
        </w:rPr>
        <w:t>(GRAVADO EM ARQUIVO SEPARADO)</w:t>
      </w:r>
    </w:p>
    <w:p w:rsidR="004262A9" w:rsidRDefault="00797B58" w:rsidP="00E27B5E">
      <w:pPr>
        <w:pStyle w:val="Legenda"/>
        <w:rPr>
          <w:szCs w:val="20"/>
        </w:rPr>
      </w:pPr>
      <w:r w:rsidRPr="00EB3286">
        <w:rPr>
          <w:szCs w:val="20"/>
        </w:rPr>
        <w:br w:type="page"/>
      </w:r>
      <w:bookmarkStart w:id="55" w:name="_Ref450205931"/>
      <w:bookmarkStart w:id="56" w:name="_Ref450206155"/>
      <w:bookmarkStart w:id="57" w:name="_Toc392675805"/>
      <w:bookmarkStart w:id="58" w:name="_Ref394332982"/>
      <w:bookmarkStart w:id="59" w:name="_Ref394333135"/>
      <w:bookmarkStart w:id="60" w:name="_Ref394333278"/>
      <w:bookmarkStart w:id="61" w:name="_Ref394393227"/>
    </w:p>
    <w:p w:rsidR="004262A9" w:rsidRDefault="004262A9" w:rsidP="00123C9F">
      <w:pPr>
        <w:pStyle w:val="Legenda"/>
        <w:rPr>
          <w:szCs w:val="20"/>
        </w:rPr>
      </w:pPr>
    </w:p>
    <w:p w:rsidR="00E27B5E" w:rsidRDefault="00E27B5E" w:rsidP="00123C9F">
      <w:pPr>
        <w:pStyle w:val="Legenda"/>
      </w:pPr>
      <w:bookmarkStart w:id="62" w:name="_Ref450205763"/>
      <w:bookmarkStart w:id="63" w:name="_Ref462845951"/>
      <w:bookmarkStart w:id="64" w:name="_Ref450206160"/>
      <w:bookmarkEnd w:id="55"/>
      <w:bookmarkEnd w:id="56"/>
      <w:bookmarkEnd w:id="57"/>
      <w:bookmarkEnd w:id="58"/>
      <w:bookmarkEnd w:id="59"/>
      <w:bookmarkEnd w:id="60"/>
      <w:bookmarkEnd w:id="61"/>
    </w:p>
    <w:p w:rsidR="00E27B5E" w:rsidRDefault="00E27B5E" w:rsidP="00123C9F">
      <w:pPr>
        <w:pStyle w:val="Legenda"/>
      </w:pPr>
    </w:p>
    <w:p w:rsidR="00E27B5E" w:rsidRDefault="00E27B5E" w:rsidP="00123C9F">
      <w:pPr>
        <w:pStyle w:val="Legenda"/>
      </w:pPr>
    </w:p>
    <w:p w:rsidR="005A7632" w:rsidRDefault="00123C9F" w:rsidP="00123C9F">
      <w:pPr>
        <w:pStyle w:val="Legenda"/>
        <w:rPr>
          <w:szCs w:val="20"/>
        </w:rPr>
      </w:pPr>
      <w:r>
        <w:t xml:space="preserve">Anexo </w:t>
      </w:r>
      <w:bookmarkEnd w:id="62"/>
      <w:r w:rsidR="009B3D65">
        <w:t>V</w:t>
      </w:r>
      <w:r w:rsidR="00FC0ACF">
        <w:t>I</w:t>
      </w:r>
      <w:r w:rsidR="00D41CBA">
        <w:rPr>
          <w:szCs w:val="20"/>
        </w:rPr>
        <w:t xml:space="preserve">: Planilha </w:t>
      </w:r>
      <w:r w:rsidR="005A7632">
        <w:rPr>
          <w:szCs w:val="20"/>
        </w:rPr>
        <w:t>de Custos do Valor do Orçamento de Referência (Planilha Detalhada)</w:t>
      </w:r>
      <w:bookmarkEnd w:id="63"/>
    </w:p>
    <w:bookmarkEnd w:id="64"/>
    <w:p w:rsidR="00E27B5E" w:rsidRDefault="00E27B5E" w:rsidP="00E27B5E">
      <w:pPr>
        <w:rPr>
          <w:szCs w:val="20"/>
        </w:rPr>
      </w:pPr>
    </w:p>
    <w:p w:rsidR="00E27B5E" w:rsidRDefault="00E27B5E" w:rsidP="00E27B5E">
      <w:pPr>
        <w:rPr>
          <w:szCs w:val="20"/>
        </w:rPr>
      </w:pPr>
    </w:p>
    <w:p w:rsidR="00E27B5E" w:rsidRDefault="00E27B5E" w:rsidP="00E27B5E">
      <w:pPr>
        <w:rPr>
          <w:szCs w:val="20"/>
        </w:rPr>
      </w:pPr>
    </w:p>
    <w:p w:rsidR="00E27B5E" w:rsidRDefault="00E27B5E" w:rsidP="00E27B5E">
      <w:pPr>
        <w:jc w:val="center"/>
        <w:rPr>
          <w:szCs w:val="20"/>
        </w:rPr>
      </w:pPr>
    </w:p>
    <w:p w:rsidR="00E27B5E" w:rsidRDefault="00E27B5E" w:rsidP="00E27B5E">
      <w:pPr>
        <w:jc w:val="center"/>
        <w:rPr>
          <w:szCs w:val="20"/>
        </w:rPr>
      </w:pPr>
    </w:p>
    <w:p w:rsidR="00E27B5E" w:rsidRDefault="00E27B5E" w:rsidP="00E27B5E">
      <w:pPr>
        <w:jc w:val="center"/>
        <w:rPr>
          <w:szCs w:val="20"/>
        </w:rPr>
      </w:pPr>
    </w:p>
    <w:p w:rsidR="005A7632" w:rsidRDefault="00797B58" w:rsidP="00E27B5E">
      <w:pPr>
        <w:jc w:val="center"/>
        <w:rPr>
          <w:b/>
          <w:szCs w:val="20"/>
        </w:rPr>
      </w:pPr>
      <w:r w:rsidRPr="00EB3286">
        <w:rPr>
          <w:b/>
          <w:szCs w:val="20"/>
        </w:rPr>
        <w:t xml:space="preserve">PLANILHA </w:t>
      </w:r>
      <w:r w:rsidR="005A7632">
        <w:rPr>
          <w:b/>
          <w:szCs w:val="20"/>
        </w:rPr>
        <w:t>DE CUSTOS DO VALOR DO ORÇAMENTO DE REFERÊNCIA</w:t>
      </w:r>
    </w:p>
    <w:p w:rsidR="005A7632" w:rsidRDefault="005A7632" w:rsidP="00E27B5E">
      <w:pPr>
        <w:jc w:val="center"/>
        <w:rPr>
          <w:b/>
          <w:szCs w:val="20"/>
        </w:rPr>
      </w:pPr>
      <w:r>
        <w:rPr>
          <w:b/>
          <w:szCs w:val="20"/>
        </w:rPr>
        <w:t>(PLANILHA DETALHADA)</w:t>
      </w:r>
    </w:p>
    <w:p w:rsidR="00797B58" w:rsidRPr="00EB3286" w:rsidRDefault="00797B58" w:rsidP="00E27B5E">
      <w:pPr>
        <w:jc w:val="center"/>
        <w:rPr>
          <w:szCs w:val="20"/>
        </w:rPr>
      </w:pPr>
    </w:p>
    <w:p w:rsidR="00797B58" w:rsidRPr="00EB3286" w:rsidRDefault="00797B58" w:rsidP="00E27B5E">
      <w:pPr>
        <w:jc w:val="center"/>
        <w:rPr>
          <w:b/>
          <w:szCs w:val="20"/>
        </w:rPr>
      </w:pPr>
      <w:r w:rsidRPr="00EB3286">
        <w:rPr>
          <w:b/>
          <w:szCs w:val="20"/>
        </w:rPr>
        <w:t>(GRAVADO EM ARQUIVO SEPARADO)</w:t>
      </w:r>
    </w:p>
    <w:p w:rsidR="009611ED" w:rsidRDefault="009611ED">
      <w:pPr>
        <w:jc w:val="center"/>
        <w:rPr>
          <w:b/>
          <w:szCs w:val="20"/>
        </w:rPr>
      </w:pPr>
      <w:r>
        <w:rPr>
          <w:b/>
          <w:szCs w:val="20"/>
        </w:rPr>
        <w:br w:type="page"/>
      </w:r>
    </w:p>
    <w:p w:rsidR="005E1C91" w:rsidRDefault="005E1C91">
      <w:pPr>
        <w:jc w:val="center"/>
        <w:rPr>
          <w:b/>
          <w:szCs w:val="20"/>
        </w:rPr>
      </w:pPr>
    </w:p>
    <w:p w:rsidR="00D458BF" w:rsidRDefault="00D458BF">
      <w:pPr>
        <w:jc w:val="center"/>
        <w:rPr>
          <w:b/>
          <w:szCs w:val="20"/>
        </w:rPr>
      </w:pPr>
    </w:p>
    <w:p w:rsidR="00D458BF" w:rsidRPr="00D458BF" w:rsidRDefault="00D458BF">
      <w:pPr>
        <w:jc w:val="center"/>
        <w:rPr>
          <w:b/>
          <w:szCs w:val="20"/>
        </w:rPr>
      </w:pPr>
    </w:p>
    <w:p w:rsidR="004D1880" w:rsidRDefault="005E1C91" w:rsidP="004D1880">
      <w:pPr>
        <w:jc w:val="center"/>
        <w:rPr>
          <w:b/>
          <w:szCs w:val="20"/>
        </w:rPr>
      </w:pPr>
      <w:r w:rsidRPr="00D458BF">
        <w:rPr>
          <w:b/>
        </w:rPr>
        <w:t>Anexo VII</w:t>
      </w:r>
      <w:r w:rsidRPr="00D458BF">
        <w:rPr>
          <w:b/>
          <w:szCs w:val="20"/>
        </w:rPr>
        <w:t xml:space="preserve">: </w:t>
      </w:r>
      <w:r w:rsidR="008329C1" w:rsidRPr="00D458BF">
        <w:rPr>
          <w:b/>
          <w:szCs w:val="20"/>
        </w:rPr>
        <w:t>Memorial e Especificações T</w:t>
      </w:r>
      <w:r w:rsidR="004F613D" w:rsidRPr="00D458BF">
        <w:rPr>
          <w:b/>
          <w:szCs w:val="20"/>
        </w:rPr>
        <w:t>é</w:t>
      </w:r>
      <w:r w:rsidR="008329C1" w:rsidRPr="00D458BF">
        <w:rPr>
          <w:b/>
          <w:szCs w:val="20"/>
        </w:rPr>
        <w:t>cnicas do Projeto Básico</w:t>
      </w:r>
      <w:r w:rsidR="004D1880">
        <w:rPr>
          <w:szCs w:val="20"/>
        </w:rPr>
        <w:br/>
      </w:r>
      <w:r w:rsidR="004D1880">
        <w:rPr>
          <w:szCs w:val="20"/>
        </w:rPr>
        <w:br/>
      </w:r>
      <w:proofErr w:type="gramStart"/>
      <w:r w:rsidR="004D1880" w:rsidRPr="00EB3286">
        <w:rPr>
          <w:b/>
          <w:szCs w:val="20"/>
        </w:rPr>
        <w:t>(</w:t>
      </w:r>
      <w:proofErr w:type="gramEnd"/>
      <w:r w:rsidR="004D1880" w:rsidRPr="00EB3286">
        <w:rPr>
          <w:b/>
          <w:szCs w:val="20"/>
        </w:rPr>
        <w:t>GRAVADO EM ARQUIVO SEPARADO)</w:t>
      </w: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Default="00EA527F" w:rsidP="004D1880">
      <w:pPr>
        <w:jc w:val="center"/>
        <w:rPr>
          <w:b/>
          <w:szCs w:val="20"/>
        </w:rPr>
      </w:pPr>
    </w:p>
    <w:p w:rsidR="00EA527F" w:rsidRPr="000D771F" w:rsidRDefault="00EA527F" w:rsidP="00EA527F">
      <w:pPr>
        <w:jc w:val="center"/>
        <w:rPr>
          <w:b/>
          <w:szCs w:val="20"/>
        </w:rPr>
      </w:pPr>
      <w:r w:rsidRPr="000D771F">
        <w:rPr>
          <w:b/>
          <w:szCs w:val="20"/>
        </w:rPr>
        <w:t xml:space="preserve">ANEXO VIII – MATRIZ DE RISCOS </w:t>
      </w:r>
    </w:p>
    <w:p w:rsidR="00EA527F" w:rsidRDefault="00EA527F" w:rsidP="00EA527F">
      <w:pPr>
        <w:jc w:val="center"/>
        <w:rPr>
          <w:rFonts w:ascii="Times New Roman" w:hAnsi="Times New Roman" w:cs="Times New Roman"/>
          <w:b/>
        </w:rPr>
      </w:pPr>
    </w:p>
    <w:p w:rsidR="00EA527F" w:rsidRPr="00EB3286" w:rsidRDefault="000D771F" w:rsidP="004D1880">
      <w:pPr>
        <w:jc w:val="center"/>
        <w:rPr>
          <w:b/>
          <w:szCs w:val="20"/>
        </w:rPr>
      </w:pPr>
      <w:r w:rsidRPr="00EB3286">
        <w:rPr>
          <w:b/>
          <w:szCs w:val="20"/>
        </w:rPr>
        <w:t>(GRAVADO EM ARQUIVO SEPARADO)</w:t>
      </w:r>
    </w:p>
    <w:sectPr w:rsidR="00EA527F" w:rsidRPr="00EB3286" w:rsidSect="002A7F26">
      <w:headerReference w:type="default" r:id="rId13"/>
      <w:footerReference w:type="default" r:id="rId14"/>
      <w:pgSz w:w="11906" w:h="16838" w:code="9"/>
      <w:pgMar w:top="1701" w:right="1133" w:bottom="1134" w:left="1560"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2F72" w:rsidRDefault="00722F72" w:rsidP="00A507E3">
      <w:r>
        <w:separator/>
      </w:r>
    </w:p>
  </w:endnote>
  <w:endnote w:type="continuationSeparator" w:id="1">
    <w:p w:rsidR="00722F72" w:rsidRDefault="00722F72" w:rsidP="00A507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1839344"/>
      <w:docPartObj>
        <w:docPartGallery w:val="Page Numbers (Bottom of Page)"/>
        <w:docPartUnique/>
      </w:docPartObj>
    </w:sdtPr>
    <w:sdtContent>
      <w:p w:rsidR="00722F72" w:rsidRDefault="00B456DC">
        <w:pPr>
          <w:pStyle w:val="Rodap"/>
          <w:jc w:val="right"/>
        </w:pPr>
        <w:r>
          <w:fldChar w:fldCharType="begin"/>
        </w:r>
        <w:r w:rsidR="004228FA">
          <w:instrText>PAGE   \* MERGEFORMAT</w:instrText>
        </w:r>
        <w:r>
          <w:fldChar w:fldCharType="separate"/>
        </w:r>
        <w:r w:rsidR="007C7F3D">
          <w:rPr>
            <w:noProof/>
          </w:rPr>
          <w:t>17</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2F72" w:rsidRDefault="00722F72" w:rsidP="00A507E3">
      <w:r>
        <w:separator/>
      </w:r>
    </w:p>
  </w:footnote>
  <w:footnote w:type="continuationSeparator" w:id="1">
    <w:p w:rsidR="00722F72" w:rsidRDefault="00722F72" w:rsidP="00A507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39" w:type="dxa"/>
      <w:jc w:val="center"/>
      <w:tblLook w:val="04A0"/>
    </w:tblPr>
    <w:tblGrid>
      <w:gridCol w:w="2269"/>
      <w:gridCol w:w="7370"/>
    </w:tblGrid>
    <w:tr w:rsidR="00722F72" w:rsidTr="005D1FDB">
      <w:trPr>
        <w:trHeight w:val="113"/>
        <w:jc w:val="center"/>
      </w:trPr>
      <w:tc>
        <w:tcPr>
          <w:tcW w:w="2269" w:type="dxa"/>
          <w:vAlign w:val="center"/>
        </w:tcPr>
        <w:p w:rsidR="00722F72" w:rsidRDefault="00722F72">
          <w:pPr>
            <w:pStyle w:val="Cabealho"/>
          </w:pPr>
          <w:r>
            <w:rPr>
              <w:noProof/>
              <w:lang w:eastAsia="pt-BR"/>
            </w:rPr>
            <w:drawing>
              <wp:inline distT="0" distB="0" distL="0" distR="0">
                <wp:extent cx="1265529" cy="460858"/>
                <wp:effectExtent l="1905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264609" cy="460523"/>
                        </a:xfrm>
                        <a:prstGeom prst="rect">
                          <a:avLst/>
                        </a:prstGeom>
                        <a:ln>
                          <a:noFill/>
                        </a:ln>
                      </pic:spPr>
                    </pic:pic>
                  </a:graphicData>
                </a:graphic>
              </wp:inline>
            </w:drawing>
          </w:r>
        </w:p>
      </w:tc>
      <w:tc>
        <w:tcPr>
          <w:tcW w:w="7370" w:type="dxa"/>
          <w:vAlign w:val="center"/>
        </w:tcPr>
        <w:p w:rsidR="00722F72" w:rsidRDefault="00722F72" w:rsidP="005D1FDB">
          <w:pPr>
            <w:pStyle w:val="Cabealho"/>
            <w:jc w:val="center"/>
            <w:rPr>
              <w:b/>
              <w:sz w:val="28"/>
              <w:szCs w:val="28"/>
            </w:rPr>
          </w:pPr>
          <w:r w:rsidRPr="00A507E3">
            <w:rPr>
              <w:b/>
              <w:sz w:val="28"/>
              <w:szCs w:val="28"/>
            </w:rPr>
            <w:t xml:space="preserve">Ministério </w:t>
          </w:r>
          <w:r>
            <w:rPr>
              <w:b/>
              <w:sz w:val="28"/>
              <w:szCs w:val="28"/>
            </w:rPr>
            <w:t>do Desenvolvimento Regional – MDR</w:t>
          </w:r>
        </w:p>
        <w:p w:rsidR="00722F72" w:rsidRPr="00A507E3" w:rsidRDefault="00722F72" w:rsidP="005D1FDB">
          <w:pPr>
            <w:pStyle w:val="Cabealho"/>
            <w:jc w:val="center"/>
            <w:rPr>
              <w:b/>
              <w:sz w:val="19"/>
              <w:szCs w:val="19"/>
            </w:rPr>
          </w:pPr>
          <w:r w:rsidRPr="00A507E3">
            <w:rPr>
              <w:b/>
              <w:sz w:val="19"/>
              <w:szCs w:val="19"/>
            </w:rPr>
            <w:t>Companhia de Desenvolvimento dos Vales do São Francisco e do Parnaíba</w:t>
          </w:r>
        </w:p>
        <w:p w:rsidR="00722F72" w:rsidRPr="005B7317" w:rsidRDefault="00722F72" w:rsidP="005D1FDB">
          <w:pPr>
            <w:pStyle w:val="Cabealho"/>
            <w:jc w:val="center"/>
            <w:rPr>
              <w:b/>
            </w:rPr>
          </w:pPr>
          <w:r>
            <w:rPr>
              <w:b/>
            </w:rPr>
            <w:t>2ª Superintendência Regional</w:t>
          </w:r>
        </w:p>
      </w:tc>
    </w:tr>
  </w:tbl>
  <w:p w:rsidR="00722F72" w:rsidRPr="00A507E3" w:rsidRDefault="00B456DC">
    <w:pPr>
      <w:pStyle w:val="Cabealho"/>
      <w:rPr>
        <w:sz w:val="12"/>
        <w:szCs w:val="12"/>
      </w:rPr>
    </w:pPr>
    <w:r w:rsidRPr="00B456DC">
      <w:rPr>
        <w:noProof/>
        <w:lang w:eastAsia="pt-BR"/>
      </w:rPr>
      <w:pict>
        <v:rect id="Rectangle 2" o:spid="_x0000_s24577" style="position:absolute;left:0;text-align:left;margin-left:372.6pt;margin-top:-90pt;width:113.7pt;height:4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" o:allowincell="f" stroked="f" strokeweight="0">
          <v:textbox inset="0,0,0,0">
            <w:txbxContent>
              <w:p w:rsidR="00722F72" w:rsidRPr="008E7D66" w:rsidRDefault="00722F72" w:rsidP="008E7D66">
                <w:pPr>
                  <w:spacing w:before="120"/>
                  <w:rPr>
                    <w:sz w:val="19"/>
                    <w:szCs w:val="19"/>
                  </w:rPr>
                </w:pPr>
                <w:r w:rsidRPr="008E7D66">
                  <w:rPr>
                    <w:sz w:val="19"/>
                    <w:szCs w:val="19"/>
                  </w:rPr>
                  <w:t>Fls.: ____________________</w:t>
                </w:r>
              </w:p>
              <w:p w:rsidR="00722F72" w:rsidRPr="008E7D66" w:rsidRDefault="00722F72" w:rsidP="008E7D6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 xml:space="preserve">Proc.: </w:t>
                </w:r>
                <w:r>
                  <w:rPr>
                    <w:rFonts w:ascii="Arial" w:hAnsi="Arial" w:cs="Arial"/>
                    <w:sz w:val="19"/>
                    <w:szCs w:val="19"/>
                  </w:rPr>
                  <w:t>__________________</w:t>
                </w:r>
              </w:p>
              <w:p w:rsidR="00722F72" w:rsidRPr="003F40E4" w:rsidRDefault="00722F72"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v:textbox>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nsid w:val="0000000A"/>
    <w:multiLevelType w:val="multilevel"/>
    <w:tmpl w:val="0000000A"/>
    <w:name w:val="WW8Num27"/>
    <w:lvl w:ilvl="0">
      <w:start w:val="1"/>
      <w:numFmt w:val="lowerLetter"/>
      <w:lvlText w:val="%1)"/>
      <w:lvlJc w:val="left"/>
      <w:pPr>
        <w:tabs>
          <w:tab w:val="num" w:pos="720"/>
        </w:tabs>
        <w:ind w:left="720" w:hanging="720"/>
      </w:pPr>
      <w:rPr>
        <w:szCs w:val="24"/>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rPr>
        <w:b/>
      </w:r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3">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4">
    <w:nsid w:val="00000017"/>
    <w:multiLevelType w:val="multilevel"/>
    <w:tmpl w:val="00000017"/>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1000" w:hanging="432"/>
      </w:pPr>
      <w:rPr>
        <w:rFonts w:eastAsia="Calibri"/>
        <w:b w:val="0"/>
        <w:color w:val="auto"/>
        <w:szCs w:val="24"/>
        <w:lang w:val="pt-BR" w:eastAsia="en-US"/>
      </w:rPr>
    </w:lvl>
    <w:lvl w:ilvl="2">
      <w:start w:val="1"/>
      <w:numFmt w:val="decimal"/>
      <w:lvlText w:val="%1.%2.%3."/>
      <w:lvlJc w:val="left"/>
      <w:pPr>
        <w:tabs>
          <w:tab w:val="num" w:pos="0"/>
        </w:tabs>
        <w:ind w:left="1224" w:hanging="504"/>
      </w:pPr>
      <w:rPr>
        <w:rFonts w:ascii="Times New Roman" w:eastAsia="Calibri" w:hAnsi="Times New Roman" w:cs="Times New Roman" w:hint="default"/>
        <w:b w:val="0"/>
        <w:color w:val="auto"/>
        <w:sz w:val="24"/>
        <w:szCs w:val="24"/>
        <w:lang w:eastAsia="en-US"/>
      </w:rPr>
    </w:lvl>
    <w:lvl w:ilvl="3">
      <w:start w:val="1"/>
      <w:numFmt w:val="decimal"/>
      <w:lvlText w:val="%1.%2.%3.%4."/>
      <w:lvlJc w:val="left"/>
      <w:pPr>
        <w:tabs>
          <w:tab w:val="num" w:pos="0"/>
        </w:tabs>
        <w:ind w:left="3909" w:hanging="648"/>
      </w:pPr>
      <w:rPr>
        <w:rFonts w:eastAsia="Calibri"/>
        <w:b w:val="0"/>
        <w:bCs/>
        <w:szCs w:val="24"/>
        <w:lang w:val="pt-BR" w:eastAsia="en-US"/>
      </w:rPr>
    </w:lvl>
    <w:lvl w:ilvl="4">
      <w:start w:val="1"/>
      <w:numFmt w:val="decimal"/>
      <w:lvlText w:val="%1.%2.%3.%4.%5."/>
      <w:lvlJc w:val="left"/>
      <w:pPr>
        <w:tabs>
          <w:tab w:val="num" w:pos="708"/>
        </w:tabs>
        <w:ind w:left="2232" w:hanging="792"/>
      </w:pPr>
      <w:rPr>
        <w:rFonts w:ascii="Times New Roman" w:hAnsi="Times New Roman" w:cs="Times New Roman"/>
        <w:bCs/>
        <w:iCs/>
        <w:color w:val="auto"/>
        <w:sz w:val="24"/>
        <w:szCs w:val="24"/>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6">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81F3B2B"/>
    <w:multiLevelType w:val="hybridMultilevel"/>
    <w:tmpl w:val="4188490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0A267AD4"/>
    <w:multiLevelType w:val="hybridMultilevel"/>
    <w:tmpl w:val="E25A580A"/>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DE727616">
      <w:start w:val="1"/>
      <w:numFmt w:val="decimal"/>
      <w:lvlText w:val="%5."/>
      <w:lvlJc w:val="left"/>
      <w:pPr>
        <w:ind w:left="3600" w:hanging="360"/>
      </w:pPr>
      <w:rPr>
        <w:rFonts w:hint="default"/>
      </w:r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2">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4">
    <w:nsid w:val="221A69D5"/>
    <w:multiLevelType w:val="multilevel"/>
    <w:tmpl w:val="7FD807E8"/>
    <w:lvl w:ilvl="0">
      <w:start w:val="1"/>
      <w:numFmt w:val="decimal"/>
      <w:pStyle w:val="Ttulo1"/>
      <w:lvlText w:val="%1."/>
      <w:lvlJc w:val="left"/>
      <w:pPr>
        <w:ind w:left="360" w:hanging="360"/>
      </w:pPr>
      <w:rPr>
        <w:rFonts w:hint="default"/>
      </w:rPr>
    </w:lvl>
    <w:lvl w:ilvl="1">
      <w:start w:val="1"/>
      <w:numFmt w:val="decimal"/>
      <w:pStyle w:val="Ttulo2"/>
      <w:lvlText w:val="%1.%2."/>
      <w:lvlJc w:val="left"/>
      <w:pPr>
        <w:ind w:left="858"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298176DB"/>
    <w:multiLevelType w:val="multilevel"/>
    <w:tmpl w:val="DF30CC64"/>
    <w:lvl w:ilvl="0">
      <w:start w:val="3"/>
      <w:numFmt w:val="decimal"/>
      <w:lvlText w:val="%1"/>
      <w:lvlJc w:val="left"/>
      <w:pPr>
        <w:ind w:left="360" w:hanging="360"/>
      </w:pPr>
      <w:rPr>
        <w:rFonts w:eastAsiaTheme="minorHAnsi" w:hint="default"/>
        <w:b/>
        <w:color w:val="auto"/>
        <w:sz w:val="20"/>
      </w:rPr>
    </w:lvl>
    <w:lvl w:ilvl="1">
      <w:start w:val="1"/>
      <w:numFmt w:val="decimal"/>
      <w:lvlText w:val="%1.%2"/>
      <w:lvlJc w:val="left"/>
      <w:pPr>
        <w:ind w:left="502" w:hanging="360"/>
      </w:pPr>
      <w:rPr>
        <w:rFonts w:eastAsiaTheme="minorHAnsi" w:hint="default"/>
        <w:b/>
        <w:color w:val="auto"/>
        <w:sz w:val="20"/>
      </w:rPr>
    </w:lvl>
    <w:lvl w:ilvl="2">
      <w:start w:val="1"/>
      <w:numFmt w:val="decimal"/>
      <w:lvlText w:val="%1.%2.%3"/>
      <w:lvlJc w:val="left"/>
      <w:pPr>
        <w:ind w:left="720" w:hanging="720"/>
      </w:pPr>
      <w:rPr>
        <w:rFonts w:eastAsiaTheme="minorHAnsi" w:hint="default"/>
        <w:b/>
        <w:color w:val="auto"/>
        <w:sz w:val="20"/>
      </w:rPr>
    </w:lvl>
    <w:lvl w:ilvl="3">
      <w:start w:val="1"/>
      <w:numFmt w:val="decimal"/>
      <w:lvlText w:val="%1.%2.%3.%4"/>
      <w:lvlJc w:val="left"/>
      <w:pPr>
        <w:ind w:left="720" w:hanging="720"/>
      </w:pPr>
      <w:rPr>
        <w:rFonts w:eastAsiaTheme="minorHAnsi" w:hint="default"/>
        <w:b/>
        <w:color w:val="auto"/>
        <w:sz w:val="20"/>
      </w:rPr>
    </w:lvl>
    <w:lvl w:ilvl="4">
      <w:start w:val="1"/>
      <w:numFmt w:val="decimal"/>
      <w:lvlText w:val="%1.%2.%3.%4.%5"/>
      <w:lvlJc w:val="left"/>
      <w:pPr>
        <w:ind w:left="720" w:hanging="720"/>
      </w:pPr>
      <w:rPr>
        <w:rFonts w:eastAsiaTheme="minorHAnsi" w:hint="default"/>
        <w:b/>
        <w:color w:val="auto"/>
        <w:sz w:val="20"/>
      </w:rPr>
    </w:lvl>
    <w:lvl w:ilvl="5">
      <w:start w:val="1"/>
      <w:numFmt w:val="decimal"/>
      <w:lvlText w:val="%1.%2.%3.%4.%5.%6"/>
      <w:lvlJc w:val="left"/>
      <w:pPr>
        <w:ind w:left="1080" w:hanging="1080"/>
      </w:pPr>
      <w:rPr>
        <w:rFonts w:eastAsiaTheme="minorHAnsi" w:hint="default"/>
        <w:b/>
        <w:color w:val="auto"/>
        <w:sz w:val="20"/>
      </w:rPr>
    </w:lvl>
    <w:lvl w:ilvl="6">
      <w:start w:val="1"/>
      <w:numFmt w:val="decimal"/>
      <w:lvlText w:val="%1.%2.%3.%4.%5.%6.%7"/>
      <w:lvlJc w:val="left"/>
      <w:pPr>
        <w:ind w:left="1080" w:hanging="1080"/>
      </w:pPr>
      <w:rPr>
        <w:rFonts w:eastAsiaTheme="minorHAnsi" w:hint="default"/>
        <w:b/>
        <w:color w:val="auto"/>
        <w:sz w:val="20"/>
      </w:rPr>
    </w:lvl>
    <w:lvl w:ilvl="7">
      <w:start w:val="1"/>
      <w:numFmt w:val="decimal"/>
      <w:lvlText w:val="%1.%2.%3.%4.%5.%6.%7.%8"/>
      <w:lvlJc w:val="left"/>
      <w:pPr>
        <w:ind w:left="1440" w:hanging="1440"/>
      </w:pPr>
      <w:rPr>
        <w:rFonts w:eastAsiaTheme="minorHAnsi" w:hint="default"/>
        <w:b/>
        <w:color w:val="auto"/>
        <w:sz w:val="20"/>
      </w:rPr>
    </w:lvl>
    <w:lvl w:ilvl="8">
      <w:start w:val="1"/>
      <w:numFmt w:val="decimal"/>
      <w:lvlText w:val="%1.%2.%3.%4.%5.%6.%7.%8.%9"/>
      <w:lvlJc w:val="left"/>
      <w:pPr>
        <w:ind w:left="1440" w:hanging="1440"/>
      </w:pPr>
      <w:rPr>
        <w:rFonts w:eastAsiaTheme="minorHAnsi" w:hint="default"/>
        <w:b/>
        <w:color w:val="auto"/>
        <w:sz w:val="20"/>
      </w:rPr>
    </w:lvl>
  </w:abstractNum>
  <w:abstractNum w:abstractNumId="17">
    <w:nsid w:val="317645B6"/>
    <w:multiLevelType w:val="hybridMultilevel"/>
    <w:tmpl w:val="98D244F6"/>
    <w:lvl w:ilvl="0" w:tplc="0416000F">
      <w:start w:val="2"/>
      <w:numFmt w:val="decimal"/>
      <w:lvlText w:val="%1."/>
      <w:lvlJc w:val="left"/>
      <w:pPr>
        <w:ind w:left="720" w:hanging="360"/>
      </w:pPr>
      <w:rPr>
        <w:rFonts w:hint="default"/>
      </w:rPr>
    </w:lvl>
    <w:lvl w:ilvl="1" w:tplc="04160019">
      <w:start w:val="1"/>
      <w:numFmt w:val="lowerLetter"/>
      <w:lvlText w:val="%2."/>
      <w:lvlJc w:val="left"/>
      <w:pPr>
        <w:ind w:left="1440" w:hanging="360"/>
      </w:pPr>
    </w:lvl>
    <w:lvl w:ilvl="2" w:tplc="FE3E2340">
      <w:start w:val="1"/>
      <w:numFmt w:val="lowerRoman"/>
      <w:lvlText w:val="%3."/>
      <w:lvlJc w:val="right"/>
      <w:pPr>
        <w:ind w:left="2160" w:hanging="180"/>
      </w:pPr>
      <w:rPr>
        <w:color w:val="auto"/>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1BD5719"/>
    <w:multiLevelType w:val="hybridMultilevel"/>
    <w:tmpl w:val="5DBC50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4304324"/>
    <w:multiLevelType w:val="hybridMultilevel"/>
    <w:tmpl w:val="1B64140E"/>
    <w:lvl w:ilvl="0" w:tplc="8D1CCC60">
      <w:start w:val="1"/>
      <w:numFmt w:val="decimal"/>
      <w:lvlText w:val="b.%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3B0625A6"/>
    <w:multiLevelType w:val="hybridMultilevel"/>
    <w:tmpl w:val="5726AE4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54354BBD"/>
    <w:multiLevelType w:val="hybridMultilevel"/>
    <w:tmpl w:val="D520AE2C"/>
    <w:lvl w:ilvl="0" w:tplc="04160005">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5A0F32CC"/>
    <w:multiLevelType w:val="hybridMultilevel"/>
    <w:tmpl w:val="DE96B0B0"/>
    <w:lvl w:ilvl="0" w:tplc="FDA431E8">
      <w:start w:val="1"/>
      <w:numFmt w:val="lowerLetter"/>
      <w:lvlText w:val="%1)"/>
      <w:lvlJc w:val="left"/>
      <w:pPr>
        <w:ind w:left="720" w:hanging="360"/>
      </w:pPr>
      <w:rPr>
        <w:rFonts w:ascii="Arial" w:hAnsi="Arial" w:hint="default"/>
        <w:b w:val="0"/>
        <w:i w:val="0"/>
        <w:sz w:val="23"/>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9">
    <w:nsid w:val="6B3B78B8"/>
    <w:multiLevelType w:val="multilevel"/>
    <w:tmpl w:val="6B3B78B8"/>
    <w:lvl w:ilvl="0">
      <w:start w:val="1"/>
      <w:numFmt w:val="bullet"/>
      <w:lvlText w:val=""/>
      <w:lvlJc w:val="left"/>
      <w:pPr>
        <w:ind w:left="751" w:hanging="360"/>
      </w:pPr>
      <w:rPr>
        <w:rFonts w:ascii="Symbol" w:hAnsi="Symbol" w:hint="default"/>
      </w:rPr>
    </w:lvl>
    <w:lvl w:ilvl="1">
      <w:start w:val="1"/>
      <w:numFmt w:val="bullet"/>
      <w:lvlText w:val="o"/>
      <w:lvlJc w:val="left"/>
      <w:pPr>
        <w:ind w:left="1471" w:hanging="360"/>
      </w:pPr>
      <w:rPr>
        <w:rFonts w:ascii="Courier New" w:hAnsi="Courier New" w:cs="Courier New" w:hint="default"/>
      </w:rPr>
    </w:lvl>
    <w:lvl w:ilvl="2">
      <w:start w:val="1"/>
      <w:numFmt w:val="bullet"/>
      <w:lvlText w:val=""/>
      <w:lvlJc w:val="left"/>
      <w:pPr>
        <w:ind w:left="2191" w:hanging="360"/>
      </w:pPr>
      <w:rPr>
        <w:rFonts w:ascii="Wingdings" w:hAnsi="Wingdings" w:hint="default"/>
      </w:rPr>
    </w:lvl>
    <w:lvl w:ilvl="3">
      <w:start w:val="1"/>
      <w:numFmt w:val="bullet"/>
      <w:lvlText w:val=""/>
      <w:lvlJc w:val="left"/>
      <w:pPr>
        <w:ind w:left="2911" w:hanging="360"/>
      </w:pPr>
      <w:rPr>
        <w:rFonts w:ascii="Symbol" w:hAnsi="Symbol" w:hint="default"/>
      </w:rPr>
    </w:lvl>
    <w:lvl w:ilvl="4">
      <w:start w:val="1"/>
      <w:numFmt w:val="bullet"/>
      <w:lvlText w:val="o"/>
      <w:lvlJc w:val="left"/>
      <w:pPr>
        <w:ind w:left="3631" w:hanging="360"/>
      </w:pPr>
      <w:rPr>
        <w:rFonts w:ascii="Courier New" w:hAnsi="Courier New" w:cs="Courier New" w:hint="default"/>
      </w:rPr>
    </w:lvl>
    <w:lvl w:ilvl="5">
      <w:start w:val="1"/>
      <w:numFmt w:val="bullet"/>
      <w:lvlText w:val=""/>
      <w:lvlJc w:val="left"/>
      <w:pPr>
        <w:ind w:left="4351" w:hanging="360"/>
      </w:pPr>
      <w:rPr>
        <w:rFonts w:ascii="Wingdings" w:hAnsi="Wingdings" w:hint="default"/>
      </w:rPr>
    </w:lvl>
    <w:lvl w:ilvl="6">
      <w:start w:val="1"/>
      <w:numFmt w:val="bullet"/>
      <w:lvlText w:val=""/>
      <w:lvlJc w:val="left"/>
      <w:pPr>
        <w:ind w:left="5071" w:hanging="360"/>
      </w:pPr>
      <w:rPr>
        <w:rFonts w:ascii="Symbol" w:hAnsi="Symbol" w:hint="default"/>
      </w:rPr>
    </w:lvl>
    <w:lvl w:ilvl="7">
      <w:start w:val="1"/>
      <w:numFmt w:val="bullet"/>
      <w:lvlText w:val="o"/>
      <w:lvlJc w:val="left"/>
      <w:pPr>
        <w:ind w:left="5791" w:hanging="360"/>
      </w:pPr>
      <w:rPr>
        <w:rFonts w:ascii="Courier New" w:hAnsi="Courier New" w:cs="Courier New" w:hint="default"/>
      </w:rPr>
    </w:lvl>
    <w:lvl w:ilvl="8">
      <w:start w:val="1"/>
      <w:numFmt w:val="bullet"/>
      <w:lvlText w:val=""/>
      <w:lvlJc w:val="left"/>
      <w:pPr>
        <w:ind w:left="6511" w:hanging="360"/>
      </w:pPr>
      <w:rPr>
        <w:rFonts w:ascii="Wingdings" w:hAnsi="Wingdings" w:hint="default"/>
      </w:rPr>
    </w:lvl>
  </w:abstractNum>
  <w:abstractNum w:abstractNumId="3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73820754"/>
    <w:multiLevelType w:val="hybridMultilevel"/>
    <w:tmpl w:val="BFCC694A"/>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4"/>
  </w:num>
  <w:num w:numId="2">
    <w:abstractNumId w:val="30"/>
  </w:num>
  <w:num w:numId="3">
    <w:abstractNumId w:val="32"/>
  </w:num>
  <w:num w:numId="4">
    <w:abstractNumId w:val="12"/>
  </w:num>
  <w:num w:numId="5">
    <w:abstractNumId w:val="28"/>
  </w:num>
  <w:num w:numId="6">
    <w:abstractNumId w:val="15"/>
  </w:num>
  <w:num w:numId="7">
    <w:abstractNumId w:val="10"/>
  </w:num>
  <w:num w:numId="8">
    <w:abstractNumId w:val="20"/>
  </w:num>
  <w:num w:numId="9">
    <w:abstractNumId w:val="22"/>
  </w:num>
  <w:num w:numId="10">
    <w:abstractNumId w:val="25"/>
  </w:num>
  <w:num w:numId="11">
    <w:abstractNumId w:val="6"/>
  </w:num>
  <w:num w:numId="12">
    <w:abstractNumId w:val="26"/>
  </w:num>
  <w:num w:numId="13">
    <w:abstractNumId w:val="8"/>
  </w:num>
  <w:num w:numId="14">
    <w:abstractNumId w:val="7"/>
  </w:num>
  <w:num w:numId="15">
    <w:abstractNumId w:val="11"/>
  </w:num>
  <w:num w:numId="16">
    <w:abstractNumId w:val="21"/>
  </w:num>
  <w:num w:numId="17">
    <w:abstractNumId w:val="19"/>
  </w:num>
  <w:num w:numId="18">
    <w:abstractNumId w:val="27"/>
  </w:num>
  <w:num w:numId="19">
    <w:abstractNumId w:val="24"/>
  </w:num>
  <w:num w:numId="20">
    <w:abstractNumId w:val="31"/>
  </w:num>
  <w:num w:numId="21">
    <w:abstractNumId w:val="3"/>
  </w:num>
  <w:num w:numId="22">
    <w:abstractNumId w:val="13"/>
  </w:num>
  <w:num w:numId="23">
    <w:abstractNumId w:val="18"/>
  </w:num>
  <w:num w:numId="24">
    <w:abstractNumId w:val="16"/>
  </w:num>
  <w:num w:numId="25">
    <w:abstractNumId w:val="9"/>
  </w:num>
  <w:num w:numId="26">
    <w:abstractNumId w:val="1"/>
  </w:num>
  <w:num w:numId="27">
    <w:abstractNumId w:val="4"/>
  </w:num>
  <w:num w:numId="28">
    <w:abstractNumId w:val="17"/>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4"/>
  </w:num>
  <w:num w:numId="36">
    <w:abstractNumId w:val="14"/>
  </w:num>
  <w:num w:numId="37">
    <w:abstractNumId w:val="29"/>
  </w:num>
  <w:num w:numId="38">
    <w:abstractNumId w:val="23"/>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4579"/>
    <o:shapelayout v:ext="edit">
      <o:idmap v:ext="edit" data="24"/>
    </o:shapelayout>
  </w:hdrShapeDefaults>
  <w:footnotePr>
    <w:footnote w:id="0"/>
    <w:footnote w:id="1"/>
  </w:footnotePr>
  <w:endnotePr>
    <w:endnote w:id="0"/>
    <w:endnote w:id="1"/>
  </w:endnotePr>
  <w:compat/>
  <w:rsids>
    <w:rsidRoot w:val="00387DCB"/>
    <w:rsid w:val="0000114F"/>
    <w:rsid w:val="00003567"/>
    <w:rsid w:val="000059AB"/>
    <w:rsid w:val="00007B30"/>
    <w:rsid w:val="00007FB3"/>
    <w:rsid w:val="000105CA"/>
    <w:rsid w:val="0001193D"/>
    <w:rsid w:val="00014E2D"/>
    <w:rsid w:val="000157B9"/>
    <w:rsid w:val="00015809"/>
    <w:rsid w:val="000159E4"/>
    <w:rsid w:val="00015E5F"/>
    <w:rsid w:val="000175F7"/>
    <w:rsid w:val="00017E28"/>
    <w:rsid w:val="00020834"/>
    <w:rsid w:val="0002157E"/>
    <w:rsid w:val="00022E0A"/>
    <w:rsid w:val="00022FE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6CB7"/>
    <w:rsid w:val="00036FF5"/>
    <w:rsid w:val="0004001A"/>
    <w:rsid w:val="000403CA"/>
    <w:rsid w:val="00040472"/>
    <w:rsid w:val="00042462"/>
    <w:rsid w:val="000438AC"/>
    <w:rsid w:val="00043913"/>
    <w:rsid w:val="00043D7D"/>
    <w:rsid w:val="00043E93"/>
    <w:rsid w:val="00044664"/>
    <w:rsid w:val="00044E17"/>
    <w:rsid w:val="000459DF"/>
    <w:rsid w:val="00045B07"/>
    <w:rsid w:val="00047F7E"/>
    <w:rsid w:val="000502D1"/>
    <w:rsid w:val="0005274B"/>
    <w:rsid w:val="00052C54"/>
    <w:rsid w:val="00053321"/>
    <w:rsid w:val="000538B8"/>
    <w:rsid w:val="00054A23"/>
    <w:rsid w:val="0005640B"/>
    <w:rsid w:val="0005766E"/>
    <w:rsid w:val="0006025B"/>
    <w:rsid w:val="000603C0"/>
    <w:rsid w:val="00060CEB"/>
    <w:rsid w:val="0006209F"/>
    <w:rsid w:val="0006294E"/>
    <w:rsid w:val="00062D9D"/>
    <w:rsid w:val="00064A7F"/>
    <w:rsid w:val="00065BB9"/>
    <w:rsid w:val="0006683E"/>
    <w:rsid w:val="00066AA6"/>
    <w:rsid w:val="00066B99"/>
    <w:rsid w:val="00066CCD"/>
    <w:rsid w:val="00071793"/>
    <w:rsid w:val="000723AE"/>
    <w:rsid w:val="00072AAD"/>
    <w:rsid w:val="00073567"/>
    <w:rsid w:val="000755CB"/>
    <w:rsid w:val="00076586"/>
    <w:rsid w:val="00076A4A"/>
    <w:rsid w:val="00080575"/>
    <w:rsid w:val="00081121"/>
    <w:rsid w:val="00081604"/>
    <w:rsid w:val="0008226D"/>
    <w:rsid w:val="000823E6"/>
    <w:rsid w:val="00082B11"/>
    <w:rsid w:val="00082E03"/>
    <w:rsid w:val="00083632"/>
    <w:rsid w:val="0008374A"/>
    <w:rsid w:val="00084037"/>
    <w:rsid w:val="000845A2"/>
    <w:rsid w:val="00087F19"/>
    <w:rsid w:val="00090561"/>
    <w:rsid w:val="00090AD3"/>
    <w:rsid w:val="000923BD"/>
    <w:rsid w:val="000928FC"/>
    <w:rsid w:val="00095CFA"/>
    <w:rsid w:val="000A0C68"/>
    <w:rsid w:val="000A0D86"/>
    <w:rsid w:val="000A1746"/>
    <w:rsid w:val="000A3D7B"/>
    <w:rsid w:val="000A4863"/>
    <w:rsid w:val="000A4D81"/>
    <w:rsid w:val="000A56A6"/>
    <w:rsid w:val="000A5EC7"/>
    <w:rsid w:val="000A633A"/>
    <w:rsid w:val="000A6789"/>
    <w:rsid w:val="000A7092"/>
    <w:rsid w:val="000A762D"/>
    <w:rsid w:val="000A7723"/>
    <w:rsid w:val="000A7EAD"/>
    <w:rsid w:val="000B0263"/>
    <w:rsid w:val="000B0E94"/>
    <w:rsid w:val="000B1199"/>
    <w:rsid w:val="000B197C"/>
    <w:rsid w:val="000B198C"/>
    <w:rsid w:val="000B215F"/>
    <w:rsid w:val="000B4E45"/>
    <w:rsid w:val="000B523C"/>
    <w:rsid w:val="000B62E8"/>
    <w:rsid w:val="000B7017"/>
    <w:rsid w:val="000B762E"/>
    <w:rsid w:val="000B7E2B"/>
    <w:rsid w:val="000C27AB"/>
    <w:rsid w:val="000C2A5B"/>
    <w:rsid w:val="000C31C9"/>
    <w:rsid w:val="000C646F"/>
    <w:rsid w:val="000C6AB4"/>
    <w:rsid w:val="000C748B"/>
    <w:rsid w:val="000C759C"/>
    <w:rsid w:val="000C7E29"/>
    <w:rsid w:val="000D0544"/>
    <w:rsid w:val="000D0998"/>
    <w:rsid w:val="000D222D"/>
    <w:rsid w:val="000D2742"/>
    <w:rsid w:val="000D2DB4"/>
    <w:rsid w:val="000D2E9F"/>
    <w:rsid w:val="000D3104"/>
    <w:rsid w:val="000D33C9"/>
    <w:rsid w:val="000D3EA6"/>
    <w:rsid w:val="000D4154"/>
    <w:rsid w:val="000D4E10"/>
    <w:rsid w:val="000D4FBA"/>
    <w:rsid w:val="000D771F"/>
    <w:rsid w:val="000D7C24"/>
    <w:rsid w:val="000D7D46"/>
    <w:rsid w:val="000E0238"/>
    <w:rsid w:val="000E1AF6"/>
    <w:rsid w:val="000E37FB"/>
    <w:rsid w:val="000E619A"/>
    <w:rsid w:val="000E64DA"/>
    <w:rsid w:val="000E68BD"/>
    <w:rsid w:val="000E7BFB"/>
    <w:rsid w:val="000F2ED3"/>
    <w:rsid w:val="000F486B"/>
    <w:rsid w:val="000F565D"/>
    <w:rsid w:val="000F656C"/>
    <w:rsid w:val="000F6595"/>
    <w:rsid w:val="000F6A44"/>
    <w:rsid w:val="000F6D36"/>
    <w:rsid w:val="000F70AC"/>
    <w:rsid w:val="000F712F"/>
    <w:rsid w:val="00101C82"/>
    <w:rsid w:val="00102789"/>
    <w:rsid w:val="00102DBA"/>
    <w:rsid w:val="001031CE"/>
    <w:rsid w:val="001032A4"/>
    <w:rsid w:val="001034BF"/>
    <w:rsid w:val="00104997"/>
    <w:rsid w:val="00104DBE"/>
    <w:rsid w:val="0010505F"/>
    <w:rsid w:val="001057AE"/>
    <w:rsid w:val="00105C0C"/>
    <w:rsid w:val="0010799A"/>
    <w:rsid w:val="00110671"/>
    <w:rsid w:val="00110F48"/>
    <w:rsid w:val="001115EC"/>
    <w:rsid w:val="00111B75"/>
    <w:rsid w:val="001125CA"/>
    <w:rsid w:val="001138A3"/>
    <w:rsid w:val="00114BAD"/>
    <w:rsid w:val="00114F6A"/>
    <w:rsid w:val="001169AD"/>
    <w:rsid w:val="00116DEC"/>
    <w:rsid w:val="00121A92"/>
    <w:rsid w:val="001226A3"/>
    <w:rsid w:val="00122B9C"/>
    <w:rsid w:val="00122CAF"/>
    <w:rsid w:val="00123832"/>
    <w:rsid w:val="00123B9F"/>
    <w:rsid w:val="00123C9F"/>
    <w:rsid w:val="00124315"/>
    <w:rsid w:val="0012563E"/>
    <w:rsid w:val="0012774E"/>
    <w:rsid w:val="00131CE1"/>
    <w:rsid w:val="00131EF2"/>
    <w:rsid w:val="00132CAD"/>
    <w:rsid w:val="001336EF"/>
    <w:rsid w:val="00134F60"/>
    <w:rsid w:val="00135AF0"/>
    <w:rsid w:val="00135CD7"/>
    <w:rsid w:val="00137263"/>
    <w:rsid w:val="00137A27"/>
    <w:rsid w:val="00140F7B"/>
    <w:rsid w:val="001411E1"/>
    <w:rsid w:val="00141C2D"/>
    <w:rsid w:val="0014222D"/>
    <w:rsid w:val="0014395C"/>
    <w:rsid w:val="001445D9"/>
    <w:rsid w:val="00144A4D"/>
    <w:rsid w:val="00144B66"/>
    <w:rsid w:val="00146419"/>
    <w:rsid w:val="001464AE"/>
    <w:rsid w:val="00146760"/>
    <w:rsid w:val="00150DA8"/>
    <w:rsid w:val="00151295"/>
    <w:rsid w:val="00151EA9"/>
    <w:rsid w:val="001526C7"/>
    <w:rsid w:val="00152DB1"/>
    <w:rsid w:val="00154D54"/>
    <w:rsid w:val="00156826"/>
    <w:rsid w:val="00157183"/>
    <w:rsid w:val="00157272"/>
    <w:rsid w:val="00157CC4"/>
    <w:rsid w:val="001614AB"/>
    <w:rsid w:val="00161E06"/>
    <w:rsid w:val="00161E86"/>
    <w:rsid w:val="00162830"/>
    <w:rsid w:val="001632C6"/>
    <w:rsid w:val="001634F9"/>
    <w:rsid w:val="00163DA3"/>
    <w:rsid w:val="00166457"/>
    <w:rsid w:val="001672E3"/>
    <w:rsid w:val="00170F2A"/>
    <w:rsid w:val="00171293"/>
    <w:rsid w:val="00171F51"/>
    <w:rsid w:val="00173987"/>
    <w:rsid w:val="00173FD5"/>
    <w:rsid w:val="001745DC"/>
    <w:rsid w:val="0017471C"/>
    <w:rsid w:val="00174C2D"/>
    <w:rsid w:val="00175E98"/>
    <w:rsid w:val="00177EE3"/>
    <w:rsid w:val="001806E3"/>
    <w:rsid w:val="0018231E"/>
    <w:rsid w:val="00182AC6"/>
    <w:rsid w:val="00182CCE"/>
    <w:rsid w:val="00184943"/>
    <w:rsid w:val="00185524"/>
    <w:rsid w:val="001857EF"/>
    <w:rsid w:val="0018655E"/>
    <w:rsid w:val="0018698C"/>
    <w:rsid w:val="00186EB0"/>
    <w:rsid w:val="001876E6"/>
    <w:rsid w:val="001879F6"/>
    <w:rsid w:val="00187BC8"/>
    <w:rsid w:val="0019096E"/>
    <w:rsid w:val="00190F84"/>
    <w:rsid w:val="00192608"/>
    <w:rsid w:val="001929BE"/>
    <w:rsid w:val="00193167"/>
    <w:rsid w:val="00193AAB"/>
    <w:rsid w:val="00197044"/>
    <w:rsid w:val="0019779B"/>
    <w:rsid w:val="001A0788"/>
    <w:rsid w:val="001A090E"/>
    <w:rsid w:val="001A126B"/>
    <w:rsid w:val="001A16CE"/>
    <w:rsid w:val="001A2136"/>
    <w:rsid w:val="001A3660"/>
    <w:rsid w:val="001A3F38"/>
    <w:rsid w:val="001A5203"/>
    <w:rsid w:val="001A5EF3"/>
    <w:rsid w:val="001A660B"/>
    <w:rsid w:val="001A683B"/>
    <w:rsid w:val="001A6FA0"/>
    <w:rsid w:val="001B17A7"/>
    <w:rsid w:val="001B19A2"/>
    <w:rsid w:val="001B1ED0"/>
    <w:rsid w:val="001B30C0"/>
    <w:rsid w:val="001B3A32"/>
    <w:rsid w:val="001B4DE7"/>
    <w:rsid w:val="001B68A7"/>
    <w:rsid w:val="001B7756"/>
    <w:rsid w:val="001C0273"/>
    <w:rsid w:val="001C0D3F"/>
    <w:rsid w:val="001C0E61"/>
    <w:rsid w:val="001C1004"/>
    <w:rsid w:val="001C183E"/>
    <w:rsid w:val="001C2CCE"/>
    <w:rsid w:val="001C2E3A"/>
    <w:rsid w:val="001C2F84"/>
    <w:rsid w:val="001C30C2"/>
    <w:rsid w:val="001C4659"/>
    <w:rsid w:val="001C4864"/>
    <w:rsid w:val="001C4A56"/>
    <w:rsid w:val="001C5A6D"/>
    <w:rsid w:val="001C7263"/>
    <w:rsid w:val="001D1153"/>
    <w:rsid w:val="001D1507"/>
    <w:rsid w:val="001D2DF8"/>
    <w:rsid w:val="001D3D7F"/>
    <w:rsid w:val="001D3E4E"/>
    <w:rsid w:val="001D44C8"/>
    <w:rsid w:val="001D4906"/>
    <w:rsid w:val="001D4FF2"/>
    <w:rsid w:val="001D5D16"/>
    <w:rsid w:val="001D6727"/>
    <w:rsid w:val="001D7000"/>
    <w:rsid w:val="001E014B"/>
    <w:rsid w:val="001E07DA"/>
    <w:rsid w:val="001E1402"/>
    <w:rsid w:val="001E2AC1"/>
    <w:rsid w:val="001E306D"/>
    <w:rsid w:val="001E3217"/>
    <w:rsid w:val="001E3506"/>
    <w:rsid w:val="001E71C8"/>
    <w:rsid w:val="001E7C28"/>
    <w:rsid w:val="001E7E1D"/>
    <w:rsid w:val="001F2743"/>
    <w:rsid w:val="001F4A2F"/>
    <w:rsid w:val="001F5C0F"/>
    <w:rsid w:val="00200994"/>
    <w:rsid w:val="00200C7F"/>
    <w:rsid w:val="0020101F"/>
    <w:rsid w:val="002015D7"/>
    <w:rsid w:val="002044B0"/>
    <w:rsid w:val="002045EA"/>
    <w:rsid w:val="00204D74"/>
    <w:rsid w:val="0020668D"/>
    <w:rsid w:val="0020676F"/>
    <w:rsid w:val="00211A6F"/>
    <w:rsid w:val="00211ADE"/>
    <w:rsid w:val="00211C05"/>
    <w:rsid w:val="00212334"/>
    <w:rsid w:val="00214515"/>
    <w:rsid w:val="00215784"/>
    <w:rsid w:val="0021758F"/>
    <w:rsid w:val="002205EC"/>
    <w:rsid w:val="00220A14"/>
    <w:rsid w:val="00220C30"/>
    <w:rsid w:val="00221257"/>
    <w:rsid w:val="0022348D"/>
    <w:rsid w:val="002240B7"/>
    <w:rsid w:val="00225A72"/>
    <w:rsid w:val="00226186"/>
    <w:rsid w:val="00226D89"/>
    <w:rsid w:val="00227F33"/>
    <w:rsid w:val="00231F75"/>
    <w:rsid w:val="00234E84"/>
    <w:rsid w:val="00236126"/>
    <w:rsid w:val="00237E03"/>
    <w:rsid w:val="002406C1"/>
    <w:rsid w:val="0024303A"/>
    <w:rsid w:val="00243DB8"/>
    <w:rsid w:val="002459E5"/>
    <w:rsid w:val="0024700D"/>
    <w:rsid w:val="002479A6"/>
    <w:rsid w:val="00250871"/>
    <w:rsid w:val="00251910"/>
    <w:rsid w:val="00251AE7"/>
    <w:rsid w:val="00253F12"/>
    <w:rsid w:val="00255FBD"/>
    <w:rsid w:val="00256E74"/>
    <w:rsid w:val="00257A6E"/>
    <w:rsid w:val="00257E03"/>
    <w:rsid w:val="0026026A"/>
    <w:rsid w:val="00260828"/>
    <w:rsid w:val="0026185D"/>
    <w:rsid w:val="00261C6B"/>
    <w:rsid w:val="00263411"/>
    <w:rsid w:val="00263E34"/>
    <w:rsid w:val="002645A8"/>
    <w:rsid w:val="00264C91"/>
    <w:rsid w:val="00266C2D"/>
    <w:rsid w:val="00271ABD"/>
    <w:rsid w:val="00272171"/>
    <w:rsid w:val="00272392"/>
    <w:rsid w:val="002726C4"/>
    <w:rsid w:val="00273A7E"/>
    <w:rsid w:val="00273CCA"/>
    <w:rsid w:val="00274B90"/>
    <w:rsid w:val="002762C6"/>
    <w:rsid w:val="002810D1"/>
    <w:rsid w:val="002814AF"/>
    <w:rsid w:val="00285D35"/>
    <w:rsid w:val="002860FD"/>
    <w:rsid w:val="00286D66"/>
    <w:rsid w:val="002873F4"/>
    <w:rsid w:val="002874CE"/>
    <w:rsid w:val="00291D84"/>
    <w:rsid w:val="00291F30"/>
    <w:rsid w:val="002922E3"/>
    <w:rsid w:val="00294358"/>
    <w:rsid w:val="00295999"/>
    <w:rsid w:val="00295A64"/>
    <w:rsid w:val="0029728E"/>
    <w:rsid w:val="002A048B"/>
    <w:rsid w:val="002A2784"/>
    <w:rsid w:val="002A28F8"/>
    <w:rsid w:val="002A2F86"/>
    <w:rsid w:val="002A3396"/>
    <w:rsid w:val="002A61FD"/>
    <w:rsid w:val="002A7F26"/>
    <w:rsid w:val="002B1159"/>
    <w:rsid w:val="002B30C7"/>
    <w:rsid w:val="002B4924"/>
    <w:rsid w:val="002B4BD1"/>
    <w:rsid w:val="002B4E09"/>
    <w:rsid w:val="002B5E91"/>
    <w:rsid w:val="002B6A9D"/>
    <w:rsid w:val="002B7100"/>
    <w:rsid w:val="002B7C1E"/>
    <w:rsid w:val="002C13B6"/>
    <w:rsid w:val="002C39F4"/>
    <w:rsid w:val="002C3E7F"/>
    <w:rsid w:val="002C463C"/>
    <w:rsid w:val="002C4BE5"/>
    <w:rsid w:val="002C6254"/>
    <w:rsid w:val="002C69D7"/>
    <w:rsid w:val="002C6CCF"/>
    <w:rsid w:val="002C7918"/>
    <w:rsid w:val="002D0349"/>
    <w:rsid w:val="002D0844"/>
    <w:rsid w:val="002D27E9"/>
    <w:rsid w:val="002D4F17"/>
    <w:rsid w:val="002D7FFB"/>
    <w:rsid w:val="002E00DC"/>
    <w:rsid w:val="002E1712"/>
    <w:rsid w:val="002E40AB"/>
    <w:rsid w:val="002E4D82"/>
    <w:rsid w:val="002E5F23"/>
    <w:rsid w:val="002E6449"/>
    <w:rsid w:val="002E67B7"/>
    <w:rsid w:val="002E721C"/>
    <w:rsid w:val="002F0576"/>
    <w:rsid w:val="002F1FFA"/>
    <w:rsid w:val="002F2633"/>
    <w:rsid w:val="002F4BEB"/>
    <w:rsid w:val="002F4D98"/>
    <w:rsid w:val="002F5E82"/>
    <w:rsid w:val="002F709B"/>
    <w:rsid w:val="002F714A"/>
    <w:rsid w:val="003010B3"/>
    <w:rsid w:val="00302DA3"/>
    <w:rsid w:val="003056D4"/>
    <w:rsid w:val="0030588D"/>
    <w:rsid w:val="003060ED"/>
    <w:rsid w:val="003121D7"/>
    <w:rsid w:val="00312EA1"/>
    <w:rsid w:val="00313A2D"/>
    <w:rsid w:val="00315554"/>
    <w:rsid w:val="00316B2A"/>
    <w:rsid w:val="00317435"/>
    <w:rsid w:val="00320B86"/>
    <w:rsid w:val="0032131E"/>
    <w:rsid w:val="003247AE"/>
    <w:rsid w:val="0032483E"/>
    <w:rsid w:val="00324AA6"/>
    <w:rsid w:val="00326CE1"/>
    <w:rsid w:val="003271CC"/>
    <w:rsid w:val="00327828"/>
    <w:rsid w:val="0032796C"/>
    <w:rsid w:val="00327A4B"/>
    <w:rsid w:val="00330066"/>
    <w:rsid w:val="003317E1"/>
    <w:rsid w:val="00331D3D"/>
    <w:rsid w:val="00332073"/>
    <w:rsid w:val="003323E4"/>
    <w:rsid w:val="00332418"/>
    <w:rsid w:val="00333B6B"/>
    <w:rsid w:val="00334738"/>
    <w:rsid w:val="003348FB"/>
    <w:rsid w:val="00336531"/>
    <w:rsid w:val="003365DB"/>
    <w:rsid w:val="00336C8A"/>
    <w:rsid w:val="00337A36"/>
    <w:rsid w:val="00337B38"/>
    <w:rsid w:val="0034387C"/>
    <w:rsid w:val="00343CFB"/>
    <w:rsid w:val="00344536"/>
    <w:rsid w:val="003445A9"/>
    <w:rsid w:val="003465A4"/>
    <w:rsid w:val="00346F13"/>
    <w:rsid w:val="003503D6"/>
    <w:rsid w:val="00350472"/>
    <w:rsid w:val="00352831"/>
    <w:rsid w:val="00353AB8"/>
    <w:rsid w:val="00353D20"/>
    <w:rsid w:val="00354255"/>
    <w:rsid w:val="00354CF8"/>
    <w:rsid w:val="003557D1"/>
    <w:rsid w:val="00355853"/>
    <w:rsid w:val="00356D86"/>
    <w:rsid w:val="00357E46"/>
    <w:rsid w:val="003602FA"/>
    <w:rsid w:val="00360B39"/>
    <w:rsid w:val="00360C00"/>
    <w:rsid w:val="00361719"/>
    <w:rsid w:val="0036184B"/>
    <w:rsid w:val="0036262E"/>
    <w:rsid w:val="00364772"/>
    <w:rsid w:val="00364C8E"/>
    <w:rsid w:val="0036583A"/>
    <w:rsid w:val="003659BE"/>
    <w:rsid w:val="00370781"/>
    <w:rsid w:val="00370BEF"/>
    <w:rsid w:val="00370DBC"/>
    <w:rsid w:val="003752E9"/>
    <w:rsid w:val="00375E2B"/>
    <w:rsid w:val="0037609F"/>
    <w:rsid w:val="003760B9"/>
    <w:rsid w:val="00377901"/>
    <w:rsid w:val="00380022"/>
    <w:rsid w:val="0038016E"/>
    <w:rsid w:val="003806A4"/>
    <w:rsid w:val="00381079"/>
    <w:rsid w:val="00381174"/>
    <w:rsid w:val="00383FB7"/>
    <w:rsid w:val="003864AB"/>
    <w:rsid w:val="003864D6"/>
    <w:rsid w:val="003868F7"/>
    <w:rsid w:val="0038705A"/>
    <w:rsid w:val="00387DCB"/>
    <w:rsid w:val="00387F98"/>
    <w:rsid w:val="00390B40"/>
    <w:rsid w:val="00391811"/>
    <w:rsid w:val="00396BB9"/>
    <w:rsid w:val="00397ECD"/>
    <w:rsid w:val="003A0108"/>
    <w:rsid w:val="003A032A"/>
    <w:rsid w:val="003A07E9"/>
    <w:rsid w:val="003A07FC"/>
    <w:rsid w:val="003A2728"/>
    <w:rsid w:val="003A2D9B"/>
    <w:rsid w:val="003A593C"/>
    <w:rsid w:val="003A7CFB"/>
    <w:rsid w:val="003B23A4"/>
    <w:rsid w:val="003B2BC4"/>
    <w:rsid w:val="003B316F"/>
    <w:rsid w:val="003B3366"/>
    <w:rsid w:val="003B3506"/>
    <w:rsid w:val="003B38E8"/>
    <w:rsid w:val="003B4053"/>
    <w:rsid w:val="003B4234"/>
    <w:rsid w:val="003B48F1"/>
    <w:rsid w:val="003B493D"/>
    <w:rsid w:val="003B4D7D"/>
    <w:rsid w:val="003B4D8A"/>
    <w:rsid w:val="003B51E0"/>
    <w:rsid w:val="003B5CC9"/>
    <w:rsid w:val="003B6762"/>
    <w:rsid w:val="003B6C0F"/>
    <w:rsid w:val="003B74C1"/>
    <w:rsid w:val="003B781B"/>
    <w:rsid w:val="003C0C3A"/>
    <w:rsid w:val="003C0E8D"/>
    <w:rsid w:val="003C191F"/>
    <w:rsid w:val="003C1BA9"/>
    <w:rsid w:val="003C1C06"/>
    <w:rsid w:val="003C2ED5"/>
    <w:rsid w:val="003C57EF"/>
    <w:rsid w:val="003C5B3B"/>
    <w:rsid w:val="003C5DDF"/>
    <w:rsid w:val="003C7B4C"/>
    <w:rsid w:val="003C7BB6"/>
    <w:rsid w:val="003D0A4B"/>
    <w:rsid w:val="003D0ABB"/>
    <w:rsid w:val="003D1B60"/>
    <w:rsid w:val="003D2DF0"/>
    <w:rsid w:val="003D5526"/>
    <w:rsid w:val="003D5F9F"/>
    <w:rsid w:val="003D640B"/>
    <w:rsid w:val="003D6A42"/>
    <w:rsid w:val="003E0803"/>
    <w:rsid w:val="003E0AFC"/>
    <w:rsid w:val="003E1311"/>
    <w:rsid w:val="003E1567"/>
    <w:rsid w:val="003E2CCA"/>
    <w:rsid w:val="003E36E6"/>
    <w:rsid w:val="003E4B80"/>
    <w:rsid w:val="003E4DEC"/>
    <w:rsid w:val="003E532D"/>
    <w:rsid w:val="003E5806"/>
    <w:rsid w:val="003E6E67"/>
    <w:rsid w:val="003E7D13"/>
    <w:rsid w:val="003F03BD"/>
    <w:rsid w:val="003F0DDC"/>
    <w:rsid w:val="003F277C"/>
    <w:rsid w:val="003F294F"/>
    <w:rsid w:val="003F3135"/>
    <w:rsid w:val="003F40E4"/>
    <w:rsid w:val="003F5009"/>
    <w:rsid w:val="003F51CF"/>
    <w:rsid w:val="003F5371"/>
    <w:rsid w:val="004006C5"/>
    <w:rsid w:val="00400B78"/>
    <w:rsid w:val="00401013"/>
    <w:rsid w:val="00401180"/>
    <w:rsid w:val="00401566"/>
    <w:rsid w:val="00402852"/>
    <w:rsid w:val="00403AE8"/>
    <w:rsid w:val="00404236"/>
    <w:rsid w:val="0040438D"/>
    <w:rsid w:val="0040522B"/>
    <w:rsid w:val="00405329"/>
    <w:rsid w:val="0040590C"/>
    <w:rsid w:val="00405952"/>
    <w:rsid w:val="004060FB"/>
    <w:rsid w:val="00407003"/>
    <w:rsid w:val="00407342"/>
    <w:rsid w:val="00407DEE"/>
    <w:rsid w:val="0041102D"/>
    <w:rsid w:val="00411906"/>
    <w:rsid w:val="00411C3D"/>
    <w:rsid w:val="004130C9"/>
    <w:rsid w:val="00413718"/>
    <w:rsid w:val="004148C4"/>
    <w:rsid w:val="00415005"/>
    <w:rsid w:val="00415726"/>
    <w:rsid w:val="0041576D"/>
    <w:rsid w:val="00416012"/>
    <w:rsid w:val="00416C6B"/>
    <w:rsid w:val="004207C9"/>
    <w:rsid w:val="00420957"/>
    <w:rsid w:val="0042138C"/>
    <w:rsid w:val="004228FA"/>
    <w:rsid w:val="00424D67"/>
    <w:rsid w:val="00424E48"/>
    <w:rsid w:val="004262A9"/>
    <w:rsid w:val="00426A80"/>
    <w:rsid w:val="00426B61"/>
    <w:rsid w:val="00431340"/>
    <w:rsid w:val="00437358"/>
    <w:rsid w:val="00437D2E"/>
    <w:rsid w:val="00440A91"/>
    <w:rsid w:val="00442788"/>
    <w:rsid w:val="00445C43"/>
    <w:rsid w:val="004469E0"/>
    <w:rsid w:val="00447783"/>
    <w:rsid w:val="004503BB"/>
    <w:rsid w:val="004521AB"/>
    <w:rsid w:val="00452314"/>
    <w:rsid w:val="004538D7"/>
    <w:rsid w:val="00455616"/>
    <w:rsid w:val="00455EF0"/>
    <w:rsid w:val="004578F9"/>
    <w:rsid w:val="00457AC1"/>
    <w:rsid w:val="00457E2D"/>
    <w:rsid w:val="00461C05"/>
    <w:rsid w:val="0046313D"/>
    <w:rsid w:val="004631ED"/>
    <w:rsid w:val="004638C4"/>
    <w:rsid w:val="00464AC1"/>
    <w:rsid w:val="00464FF1"/>
    <w:rsid w:val="00467156"/>
    <w:rsid w:val="004673AF"/>
    <w:rsid w:val="00467F65"/>
    <w:rsid w:val="004709C6"/>
    <w:rsid w:val="0047174A"/>
    <w:rsid w:val="0047455F"/>
    <w:rsid w:val="004746F7"/>
    <w:rsid w:val="004751E3"/>
    <w:rsid w:val="00475903"/>
    <w:rsid w:val="00475A79"/>
    <w:rsid w:val="00475A8E"/>
    <w:rsid w:val="00475DB3"/>
    <w:rsid w:val="00475EB8"/>
    <w:rsid w:val="00476340"/>
    <w:rsid w:val="004770BD"/>
    <w:rsid w:val="004772EA"/>
    <w:rsid w:val="00477DDC"/>
    <w:rsid w:val="00480C5F"/>
    <w:rsid w:val="004838DE"/>
    <w:rsid w:val="00483B4A"/>
    <w:rsid w:val="00483ED7"/>
    <w:rsid w:val="00484250"/>
    <w:rsid w:val="00485079"/>
    <w:rsid w:val="00486A70"/>
    <w:rsid w:val="00486F07"/>
    <w:rsid w:val="00487C1E"/>
    <w:rsid w:val="00491518"/>
    <w:rsid w:val="00491F75"/>
    <w:rsid w:val="004943F5"/>
    <w:rsid w:val="00494507"/>
    <w:rsid w:val="004964BD"/>
    <w:rsid w:val="00496F71"/>
    <w:rsid w:val="00497531"/>
    <w:rsid w:val="00497B16"/>
    <w:rsid w:val="004A023E"/>
    <w:rsid w:val="004A23B7"/>
    <w:rsid w:val="004A3117"/>
    <w:rsid w:val="004A40C7"/>
    <w:rsid w:val="004A410B"/>
    <w:rsid w:val="004A570C"/>
    <w:rsid w:val="004A5C2A"/>
    <w:rsid w:val="004A5EC9"/>
    <w:rsid w:val="004A66D6"/>
    <w:rsid w:val="004B120C"/>
    <w:rsid w:val="004B15B0"/>
    <w:rsid w:val="004B2080"/>
    <w:rsid w:val="004B3050"/>
    <w:rsid w:val="004B321C"/>
    <w:rsid w:val="004B5B05"/>
    <w:rsid w:val="004B6F49"/>
    <w:rsid w:val="004B7037"/>
    <w:rsid w:val="004C061E"/>
    <w:rsid w:val="004C20AB"/>
    <w:rsid w:val="004C34A9"/>
    <w:rsid w:val="004C4440"/>
    <w:rsid w:val="004C4831"/>
    <w:rsid w:val="004C7655"/>
    <w:rsid w:val="004D0521"/>
    <w:rsid w:val="004D11E2"/>
    <w:rsid w:val="004D16A0"/>
    <w:rsid w:val="004D1880"/>
    <w:rsid w:val="004D33E2"/>
    <w:rsid w:val="004D3D12"/>
    <w:rsid w:val="004D3DBC"/>
    <w:rsid w:val="004D51BC"/>
    <w:rsid w:val="004D539E"/>
    <w:rsid w:val="004D56A7"/>
    <w:rsid w:val="004D6469"/>
    <w:rsid w:val="004E2774"/>
    <w:rsid w:val="004E2897"/>
    <w:rsid w:val="004E2D18"/>
    <w:rsid w:val="004E334D"/>
    <w:rsid w:val="004E4D90"/>
    <w:rsid w:val="004E526D"/>
    <w:rsid w:val="004E5F61"/>
    <w:rsid w:val="004E66E0"/>
    <w:rsid w:val="004E69EF"/>
    <w:rsid w:val="004E6B45"/>
    <w:rsid w:val="004F1273"/>
    <w:rsid w:val="004F1687"/>
    <w:rsid w:val="004F219F"/>
    <w:rsid w:val="004F349B"/>
    <w:rsid w:val="004F353A"/>
    <w:rsid w:val="004F3B3C"/>
    <w:rsid w:val="004F4D0F"/>
    <w:rsid w:val="004F570B"/>
    <w:rsid w:val="004F613D"/>
    <w:rsid w:val="004F6375"/>
    <w:rsid w:val="0050019B"/>
    <w:rsid w:val="00500A1E"/>
    <w:rsid w:val="00500F48"/>
    <w:rsid w:val="005010C1"/>
    <w:rsid w:val="00502F99"/>
    <w:rsid w:val="0050321D"/>
    <w:rsid w:val="005035D0"/>
    <w:rsid w:val="00503D70"/>
    <w:rsid w:val="00504373"/>
    <w:rsid w:val="00504CCF"/>
    <w:rsid w:val="005051D1"/>
    <w:rsid w:val="005073FF"/>
    <w:rsid w:val="00507651"/>
    <w:rsid w:val="005079F9"/>
    <w:rsid w:val="00507C49"/>
    <w:rsid w:val="00510D60"/>
    <w:rsid w:val="005131F4"/>
    <w:rsid w:val="00514B1A"/>
    <w:rsid w:val="005153C6"/>
    <w:rsid w:val="0051777F"/>
    <w:rsid w:val="00517D4D"/>
    <w:rsid w:val="005206E4"/>
    <w:rsid w:val="00520828"/>
    <w:rsid w:val="0052338B"/>
    <w:rsid w:val="00523B70"/>
    <w:rsid w:val="00524C0E"/>
    <w:rsid w:val="00525831"/>
    <w:rsid w:val="0052597D"/>
    <w:rsid w:val="00525FD5"/>
    <w:rsid w:val="00531109"/>
    <w:rsid w:val="005312B2"/>
    <w:rsid w:val="00532C59"/>
    <w:rsid w:val="00533CB8"/>
    <w:rsid w:val="00533FC0"/>
    <w:rsid w:val="0053461A"/>
    <w:rsid w:val="00534B2D"/>
    <w:rsid w:val="00536B2C"/>
    <w:rsid w:val="00537553"/>
    <w:rsid w:val="00541599"/>
    <w:rsid w:val="00541F0C"/>
    <w:rsid w:val="005425D8"/>
    <w:rsid w:val="00544CF8"/>
    <w:rsid w:val="00545B83"/>
    <w:rsid w:val="0054637F"/>
    <w:rsid w:val="0054664F"/>
    <w:rsid w:val="005469A3"/>
    <w:rsid w:val="005471F1"/>
    <w:rsid w:val="0055183E"/>
    <w:rsid w:val="0055194B"/>
    <w:rsid w:val="005519B4"/>
    <w:rsid w:val="00551A0F"/>
    <w:rsid w:val="00551DC1"/>
    <w:rsid w:val="005536BC"/>
    <w:rsid w:val="005537AC"/>
    <w:rsid w:val="00553A68"/>
    <w:rsid w:val="00555213"/>
    <w:rsid w:val="005552E3"/>
    <w:rsid w:val="00555CEB"/>
    <w:rsid w:val="00557C61"/>
    <w:rsid w:val="005603B7"/>
    <w:rsid w:val="0056134E"/>
    <w:rsid w:val="0056267A"/>
    <w:rsid w:val="00564A80"/>
    <w:rsid w:val="005651E9"/>
    <w:rsid w:val="005654CC"/>
    <w:rsid w:val="005656EB"/>
    <w:rsid w:val="00565FB2"/>
    <w:rsid w:val="00566459"/>
    <w:rsid w:val="00570056"/>
    <w:rsid w:val="005705FB"/>
    <w:rsid w:val="005720DD"/>
    <w:rsid w:val="00572C9C"/>
    <w:rsid w:val="00573AB0"/>
    <w:rsid w:val="00573B8E"/>
    <w:rsid w:val="00574244"/>
    <w:rsid w:val="005743D7"/>
    <w:rsid w:val="00574C3D"/>
    <w:rsid w:val="00575A2D"/>
    <w:rsid w:val="00576EBC"/>
    <w:rsid w:val="00580BAD"/>
    <w:rsid w:val="00582090"/>
    <w:rsid w:val="00582AB9"/>
    <w:rsid w:val="00584A78"/>
    <w:rsid w:val="00585E67"/>
    <w:rsid w:val="005863EA"/>
    <w:rsid w:val="00586AC6"/>
    <w:rsid w:val="005876E9"/>
    <w:rsid w:val="00590B44"/>
    <w:rsid w:val="0059102C"/>
    <w:rsid w:val="005915BE"/>
    <w:rsid w:val="00592D82"/>
    <w:rsid w:val="00594DB7"/>
    <w:rsid w:val="005952E6"/>
    <w:rsid w:val="00595801"/>
    <w:rsid w:val="00596405"/>
    <w:rsid w:val="00596531"/>
    <w:rsid w:val="00597573"/>
    <w:rsid w:val="0059787F"/>
    <w:rsid w:val="005A0787"/>
    <w:rsid w:val="005A1179"/>
    <w:rsid w:val="005A24F4"/>
    <w:rsid w:val="005A4CA8"/>
    <w:rsid w:val="005A4E53"/>
    <w:rsid w:val="005A6AC2"/>
    <w:rsid w:val="005A6E64"/>
    <w:rsid w:val="005A7632"/>
    <w:rsid w:val="005B087E"/>
    <w:rsid w:val="005B0B09"/>
    <w:rsid w:val="005B1333"/>
    <w:rsid w:val="005B173E"/>
    <w:rsid w:val="005B1D27"/>
    <w:rsid w:val="005B1EE6"/>
    <w:rsid w:val="005B2B2E"/>
    <w:rsid w:val="005B2D3E"/>
    <w:rsid w:val="005B4FAD"/>
    <w:rsid w:val="005B4FC2"/>
    <w:rsid w:val="005B54DA"/>
    <w:rsid w:val="005B5672"/>
    <w:rsid w:val="005B676A"/>
    <w:rsid w:val="005B6996"/>
    <w:rsid w:val="005B6FE1"/>
    <w:rsid w:val="005B7317"/>
    <w:rsid w:val="005C0C19"/>
    <w:rsid w:val="005C10C4"/>
    <w:rsid w:val="005C13EF"/>
    <w:rsid w:val="005C1BAB"/>
    <w:rsid w:val="005C48CB"/>
    <w:rsid w:val="005D00ED"/>
    <w:rsid w:val="005D0327"/>
    <w:rsid w:val="005D0C62"/>
    <w:rsid w:val="005D1FDB"/>
    <w:rsid w:val="005D2885"/>
    <w:rsid w:val="005D2DBB"/>
    <w:rsid w:val="005D3984"/>
    <w:rsid w:val="005D523C"/>
    <w:rsid w:val="005D5B69"/>
    <w:rsid w:val="005D69DF"/>
    <w:rsid w:val="005D6CBA"/>
    <w:rsid w:val="005D7405"/>
    <w:rsid w:val="005E14F3"/>
    <w:rsid w:val="005E1C91"/>
    <w:rsid w:val="005E4F6E"/>
    <w:rsid w:val="005E5204"/>
    <w:rsid w:val="005E55C8"/>
    <w:rsid w:val="005E61F6"/>
    <w:rsid w:val="005E68FF"/>
    <w:rsid w:val="005E704B"/>
    <w:rsid w:val="005F018D"/>
    <w:rsid w:val="005F01A0"/>
    <w:rsid w:val="005F3996"/>
    <w:rsid w:val="005F40DB"/>
    <w:rsid w:val="005F4C5E"/>
    <w:rsid w:val="005F5300"/>
    <w:rsid w:val="005F5516"/>
    <w:rsid w:val="005F680E"/>
    <w:rsid w:val="005F794D"/>
    <w:rsid w:val="006002C0"/>
    <w:rsid w:val="00603C55"/>
    <w:rsid w:val="00604797"/>
    <w:rsid w:val="00604B55"/>
    <w:rsid w:val="006056CC"/>
    <w:rsid w:val="0060725F"/>
    <w:rsid w:val="00611D5E"/>
    <w:rsid w:val="00612BE6"/>
    <w:rsid w:val="0061357F"/>
    <w:rsid w:val="00613C4B"/>
    <w:rsid w:val="00614A18"/>
    <w:rsid w:val="00616450"/>
    <w:rsid w:val="006164C4"/>
    <w:rsid w:val="0061723F"/>
    <w:rsid w:val="006176FB"/>
    <w:rsid w:val="00622D94"/>
    <w:rsid w:val="00623317"/>
    <w:rsid w:val="00623F66"/>
    <w:rsid w:val="006249DC"/>
    <w:rsid w:val="0062695E"/>
    <w:rsid w:val="0062723A"/>
    <w:rsid w:val="0062750F"/>
    <w:rsid w:val="00630852"/>
    <w:rsid w:val="006322CF"/>
    <w:rsid w:val="006336CC"/>
    <w:rsid w:val="0063377F"/>
    <w:rsid w:val="00634696"/>
    <w:rsid w:val="0063494E"/>
    <w:rsid w:val="006362A9"/>
    <w:rsid w:val="0063660D"/>
    <w:rsid w:val="006366EE"/>
    <w:rsid w:val="00637296"/>
    <w:rsid w:val="00640772"/>
    <w:rsid w:val="00640CD0"/>
    <w:rsid w:val="006419C9"/>
    <w:rsid w:val="00643EE4"/>
    <w:rsid w:val="00644528"/>
    <w:rsid w:val="00644961"/>
    <w:rsid w:val="006449BA"/>
    <w:rsid w:val="00644B84"/>
    <w:rsid w:val="00646C5C"/>
    <w:rsid w:val="00646E06"/>
    <w:rsid w:val="00647894"/>
    <w:rsid w:val="0065032D"/>
    <w:rsid w:val="006523AC"/>
    <w:rsid w:val="0065292A"/>
    <w:rsid w:val="006534C1"/>
    <w:rsid w:val="00653C8B"/>
    <w:rsid w:val="0065505F"/>
    <w:rsid w:val="006556E2"/>
    <w:rsid w:val="00656EE9"/>
    <w:rsid w:val="0066082A"/>
    <w:rsid w:val="00660E7B"/>
    <w:rsid w:val="00661053"/>
    <w:rsid w:val="00661620"/>
    <w:rsid w:val="0066201E"/>
    <w:rsid w:val="006641CF"/>
    <w:rsid w:val="00667D4E"/>
    <w:rsid w:val="00670319"/>
    <w:rsid w:val="00670582"/>
    <w:rsid w:val="00670B3E"/>
    <w:rsid w:val="00671A34"/>
    <w:rsid w:val="00673E96"/>
    <w:rsid w:val="00673FA4"/>
    <w:rsid w:val="0067704A"/>
    <w:rsid w:val="00677968"/>
    <w:rsid w:val="00677BD8"/>
    <w:rsid w:val="006809B5"/>
    <w:rsid w:val="00681CAA"/>
    <w:rsid w:val="00681DF6"/>
    <w:rsid w:val="00682EB0"/>
    <w:rsid w:val="00683F56"/>
    <w:rsid w:val="00685A8F"/>
    <w:rsid w:val="00686A12"/>
    <w:rsid w:val="00686A8C"/>
    <w:rsid w:val="0069094E"/>
    <w:rsid w:val="00691168"/>
    <w:rsid w:val="00693215"/>
    <w:rsid w:val="0069398F"/>
    <w:rsid w:val="00695075"/>
    <w:rsid w:val="0069690D"/>
    <w:rsid w:val="006A14B9"/>
    <w:rsid w:val="006A1806"/>
    <w:rsid w:val="006A29D9"/>
    <w:rsid w:val="006A41C2"/>
    <w:rsid w:val="006A5D4D"/>
    <w:rsid w:val="006A68E5"/>
    <w:rsid w:val="006A6B1E"/>
    <w:rsid w:val="006B0224"/>
    <w:rsid w:val="006B02AE"/>
    <w:rsid w:val="006B0612"/>
    <w:rsid w:val="006B08AB"/>
    <w:rsid w:val="006B17C4"/>
    <w:rsid w:val="006B1ECD"/>
    <w:rsid w:val="006B232A"/>
    <w:rsid w:val="006B36F5"/>
    <w:rsid w:val="006B3CCD"/>
    <w:rsid w:val="006B562B"/>
    <w:rsid w:val="006B5B93"/>
    <w:rsid w:val="006B74AF"/>
    <w:rsid w:val="006C010E"/>
    <w:rsid w:val="006C207F"/>
    <w:rsid w:val="006C2CD3"/>
    <w:rsid w:val="006C4145"/>
    <w:rsid w:val="006C4166"/>
    <w:rsid w:val="006C44A4"/>
    <w:rsid w:val="006D2AF7"/>
    <w:rsid w:val="006D3314"/>
    <w:rsid w:val="006D65B3"/>
    <w:rsid w:val="006D6A12"/>
    <w:rsid w:val="006E00B4"/>
    <w:rsid w:val="006E1563"/>
    <w:rsid w:val="006E253F"/>
    <w:rsid w:val="006E3277"/>
    <w:rsid w:val="006E3E0E"/>
    <w:rsid w:val="006E3F85"/>
    <w:rsid w:val="006E407C"/>
    <w:rsid w:val="006E4EC1"/>
    <w:rsid w:val="006E55DF"/>
    <w:rsid w:val="006E59B5"/>
    <w:rsid w:val="006F0AF7"/>
    <w:rsid w:val="006F3715"/>
    <w:rsid w:val="006F3B88"/>
    <w:rsid w:val="006F4478"/>
    <w:rsid w:val="006F6309"/>
    <w:rsid w:val="006F67A9"/>
    <w:rsid w:val="006F7713"/>
    <w:rsid w:val="00700B3A"/>
    <w:rsid w:val="007028EB"/>
    <w:rsid w:val="00704471"/>
    <w:rsid w:val="0070566B"/>
    <w:rsid w:val="0070618C"/>
    <w:rsid w:val="00706A62"/>
    <w:rsid w:val="00710D5C"/>
    <w:rsid w:val="007135D3"/>
    <w:rsid w:val="00713A43"/>
    <w:rsid w:val="0071401A"/>
    <w:rsid w:val="0071402A"/>
    <w:rsid w:val="007142E1"/>
    <w:rsid w:val="00714566"/>
    <w:rsid w:val="007162CA"/>
    <w:rsid w:val="00716635"/>
    <w:rsid w:val="00717CAC"/>
    <w:rsid w:val="00720AC3"/>
    <w:rsid w:val="00720DCE"/>
    <w:rsid w:val="00720DD2"/>
    <w:rsid w:val="00721C6A"/>
    <w:rsid w:val="0072291F"/>
    <w:rsid w:val="007229F2"/>
    <w:rsid w:val="00722AF1"/>
    <w:rsid w:val="00722F72"/>
    <w:rsid w:val="007231D2"/>
    <w:rsid w:val="00723C5E"/>
    <w:rsid w:val="00724032"/>
    <w:rsid w:val="00724895"/>
    <w:rsid w:val="00724AF4"/>
    <w:rsid w:val="00724CB0"/>
    <w:rsid w:val="00725EBF"/>
    <w:rsid w:val="007279FF"/>
    <w:rsid w:val="00727A77"/>
    <w:rsid w:val="0073207E"/>
    <w:rsid w:val="007323A5"/>
    <w:rsid w:val="0073339D"/>
    <w:rsid w:val="0073551A"/>
    <w:rsid w:val="007372E3"/>
    <w:rsid w:val="00737E88"/>
    <w:rsid w:val="007441C4"/>
    <w:rsid w:val="00744827"/>
    <w:rsid w:val="007473EE"/>
    <w:rsid w:val="00747708"/>
    <w:rsid w:val="00747C19"/>
    <w:rsid w:val="00747F1B"/>
    <w:rsid w:val="00750283"/>
    <w:rsid w:val="00750875"/>
    <w:rsid w:val="00751C35"/>
    <w:rsid w:val="00752D06"/>
    <w:rsid w:val="00753DD1"/>
    <w:rsid w:val="00754AE3"/>
    <w:rsid w:val="00754BEB"/>
    <w:rsid w:val="00755446"/>
    <w:rsid w:val="00755470"/>
    <w:rsid w:val="00755F47"/>
    <w:rsid w:val="00757857"/>
    <w:rsid w:val="007602EA"/>
    <w:rsid w:val="00760848"/>
    <w:rsid w:val="007610FB"/>
    <w:rsid w:val="007626BE"/>
    <w:rsid w:val="00762880"/>
    <w:rsid w:val="00762CF0"/>
    <w:rsid w:val="00763815"/>
    <w:rsid w:val="00764746"/>
    <w:rsid w:val="00767ADF"/>
    <w:rsid w:val="007706B5"/>
    <w:rsid w:val="00771AAC"/>
    <w:rsid w:val="00773390"/>
    <w:rsid w:val="00776F3A"/>
    <w:rsid w:val="00780029"/>
    <w:rsid w:val="00780AA6"/>
    <w:rsid w:val="00780B12"/>
    <w:rsid w:val="00781160"/>
    <w:rsid w:val="00781D20"/>
    <w:rsid w:val="007820AA"/>
    <w:rsid w:val="00782915"/>
    <w:rsid w:val="00783E2A"/>
    <w:rsid w:val="00784F47"/>
    <w:rsid w:val="00785179"/>
    <w:rsid w:val="00785504"/>
    <w:rsid w:val="00785D1B"/>
    <w:rsid w:val="00786DAF"/>
    <w:rsid w:val="007876AB"/>
    <w:rsid w:val="00787AB9"/>
    <w:rsid w:val="0079115A"/>
    <w:rsid w:val="007932A0"/>
    <w:rsid w:val="0079406B"/>
    <w:rsid w:val="00794273"/>
    <w:rsid w:val="00794BD2"/>
    <w:rsid w:val="00795DCB"/>
    <w:rsid w:val="0079674C"/>
    <w:rsid w:val="00796FBC"/>
    <w:rsid w:val="00797B58"/>
    <w:rsid w:val="007A0002"/>
    <w:rsid w:val="007A0017"/>
    <w:rsid w:val="007A0F2A"/>
    <w:rsid w:val="007A17D5"/>
    <w:rsid w:val="007A2B78"/>
    <w:rsid w:val="007A3900"/>
    <w:rsid w:val="007A4FDF"/>
    <w:rsid w:val="007A51E6"/>
    <w:rsid w:val="007B049A"/>
    <w:rsid w:val="007B066F"/>
    <w:rsid w:val="007B0E70"/>
    <w:rsid w:val="007B1841"/>
    <w:rsid w:val="007B1BCF"/>
    <w:rsid w:val="007B3568"/>
    <w:rsid w:val="007B38F2"/>
    <w:rsid w:val="007B39F4"/>
    <w:rsid w:val="007B4584"/>
    <w:rsid w:val="007B5201"/>
    <w:rsid w:val="007B680F"/>
    <w:rsid w:val="007C0E07"/>
    <w:rsid w:val="007C2A22"/>
    <w:rsid w:val="007C31B1"/>
    <w:rsid w:val="007C4AEC"/>
    <w:rsid w:val="007C4ED4"/>
    <w:rsid w:val="007C521A"/>
    <w:rsid w:val="007C597C"/>
    <w:rsid w:val="007C5987"/>
    <w:rsid w:val="007C658D"/>
    <w:rsid w:val="007C6906"/>
    <w:rsid w:val="007C7F3D"/>
    <w:rsid w:val="007D1F8C"/>
    <w:rsid w:val="007D2194"/>
    <w:rsid w:val="007D3392"/>
    <w:rsid w:val="007D38CC"/>
    <w:rsid w:val="007D3D85"/>
    <w:rsid w:val="007D3F24"/>
    <w:rsid w:val="007D408E"/>
    <w:rsid w:val="007D4917"/>
    <w:rsid w:val="007D5D6F"/>
    <w:rsid w:val="007D64AC"/>
    <w:rsid w:val="007D6E12"/>
    <w:rsid w:val="007E31B6"/>
    <w:rsid w:val="007E38D0"/>
    <w:rsid w:val="007E530B"/>
    <w:rsid w:val="007E6C75"/>
    <w:rsid w:val="007E6DAD"/>
    <w:rsid w:val="007E77CB"/>
    <w:rsid w:val="007E79CF"/>
    <w:rsid w:val="007F1315"/>
    <w:rsid w:val="007F1FF6"/>
    <w:rsid w:val="007F240D"/>
    <w:rsid w:val="007F3748"/>
    <w:rsid w:val="007F3BA4"/>
    <w:rsid w:val="007F3C27"/>
    <w:rsid w:val="007F3C80"/>
    <w:rsid w:val="007F4322"/>
    <w:rsid w:val="007F4357"/>
    <w:rsid w:val="007F4382"/>
    <w:rsid w:val="007F4614"/>
    <w:rsid w:val="007F4802"/>
    <w:rsid w:val="007F5644"/>
    <w:rsid w:val="007F56AB"/>
    <w:rsid w:val="007F6B2C"/>
    <w:rsid w:val="00802303"/>
    <w:rsid w:val="00803773"/>
    <w:rsid w:val="00804B88"/>
    <w:rsid w:val="008053A5"/>
    <w:rsid w:val="00805738"/>
    <w:rsid w:val="0080667B"/>
    <w:rsid w:val="00806904"/>
    <w:rsid w:val="00811389"/>
    <w:rsid w:val="00811E3A"/>
    <w:rsid w:val="008122CC"/>
    <w:rsid w:val="00812D23"/>
    <w:rsid w:val="00813223"/>
    <w:rsid w:val="0081338F"/>
    <w:rsid w:val="0081425D"/>
    <w:rsid w:val="00814F75"/>
    <w:rsid w:val="008154A9"/>
    <w:rsid w:val="00815C06"/>
    <w:rsid w:val="00815D37"/>
    <w:rsid w:val="00817069"/>
    <w:rsid w:val="00821F91"/>
    <w:rsid w:val="00822FC4"/>
    <w:rsid w:val="00823138"/>
    <w:rsid w:val="00825024"/>
    <w:rsid w:val="00825728"/>
    <w:rsid w:val="008263D0"/>
    <w:rsid w:val="008277C8"/>
    <w:rsid w:val="00827BA3"/>
    <w:rsid w:val="00827E72"/>
    <w:rsid w:val="00830119"/>
    <w:rsid w:val="00831409"/>
    <w:rsid w:val="0083148C"/>
    <w:rsid w:val="00831FB8"/>
    <w:rsid w:val="008329C1"/>
    <w:rsid w:val="00833B53"/>
    <w:rsid w:val="00836D7C"/>
    <w:rsid w:val="00840750"/>
    <w:rsid w:val="00840BD3"/>
    <w:rsid w:val="0084192C"/>
    <w:rsid w:val="00841D79"/>
    <w:rsid w:val="00842759"/>
    <w:rsid w:val="00842B85"/>
    <w:rsid w:val="00842CD6"/>
    <w:rsid w:val="008430BD"/>
    <w:rsid w:val="00843CD5"/>
    <w:rsid w:val="00843F89"/>
    <w:rsid w:val="00843F8C"/>
    <w:rsid w:val="00844322"/>
    <w:rsid w:val="00846E16"/>
    <w:rsid w:val="00847066"/>
    <w:rsid w:val="00847538"/>
    <w:rsid w:val="0084780E"/>
    <w:rsid w:val="00847F13"/>
    <w:rsid w:val="0085179A"/>
    <w:rsid w:val="008524BF"/>
    <w:rsid w:val="0085389F"/>
    <w:rsid w:val="00854334"/>
    <w:rsid w:val="00854500"/>
    <w:rsid w:val="00854C22"/>
    <w:rsid w:val="0085597C"/>
    <w:rsid w:val="00856512"/>
    <w:rsid w:val="00856725"/>
    <w:rsid w:val="00856C99"/>
    <w:rsid w:val="0085703A"/>
    <w:rsid w:val="0085709A"/>
    <w:rsid w:val="00857411"/>
    <w:rsid w:val="00857BAD"/>
    <w:rsid w:val="0086036E"/>
    <w:rsid w:val="00861618"/>
    <w:rsid w:val="008629C1"/>
    <w:rsid w:val="00862E24"/>
    <w:rsid w:val="0086313B"/>
    <w:rsid w:val="00863A6A"/>
    <w:rsid w:val="0086432B"/>
    <w:rsid w:val="0086511E"/>
    <w:rsid w:val="0086558F"/>
    <w:rsid w:val="0087129B"/>
    <w:rsid w:val="008719C8"/>
    <w:rsid w:val="00872D5E"/>
    <w:rsid w:val="0087597C"/>
    <w:rsid w:val="00877079"/>
    <w:rsid w:val="008802D6"/>
    <w:rsid w:val="00880428"/>
    <w:rsid w:val="00880595"/>
    <w:rsid w:val="0088120A"/>
    <w:rsid w:val="00881A3C"/>
    <w:rsid w:val="008821C3"/>
    <w:rsid w:val="008830C2"/>
    <w:rsid w:val="00883498"/>
    <w:rsid w:val="008838F3"/>
    <w:rsid w:val="0088496C"/>
    <w:rsid w:val="008871A4"/>
    <w:rsid w:val="00890D92"/>
    <w:rsid w:val="00890F44"/>
    <w:rsid w:val="00891C5B"/>
    <w:rsid w:val="00891D24"/>
    <w:rsid w:val="00892C7F"/>
    <w:rsid w:val="008965BB"/>
    <w:rsid w:val="008A0315"/>
    <w:rsid w:val="008A155B"/>
    <w:rsid w:val="008A1684"/>
    <w:rsid w:val="008A2F1A"/>
    <w:rsid w:val="008A4EAA"/>
    <w:rsid w:val="008B1CE2"/>
    <w:rsid w:val="008B3A4E"/>
    <w:rsid w:val="008B419F"/>
    <w:rsid w:val="008B52B1"/>
    <w:rsid w:val="008B535D"/>
    <w:rsid w:val="008B58DE"/>
    <w:rsid w:val="008B687C"/>
    <w:rsid w:val="008B6F14"/>
    <w:rsid w:val="008C043A"/>
    <w:rsid w:val="008C07AD"/>
    <w:rsid w:val="008C0B87"/>
    <w:rsid w:val="008C2664"/>
    <w:rsid w:val="008C490F"/>
    <w:rsid w:val="008C5153"/>
    <w:rsid w:val="008C58FE"/>
    <w:rsid w:val="008C64A2"/>
    <w:rsid w:val="008C7255"/>
    <w:rsid w:val="008D0916"/>
    <w:rsid w:val="008D1CEB"/>
    <w:rsid w:val="008D3D68"/>
    <w:rsid w:val="008D4020"/>
    <w:rsid w:val="008D4BD9"/>
    <w:rsid w:val="008D4EE9"/>
    <w:rsid w:val="008D6D4B"/>
    <w:rsid w:val="008D6F71"/>
    <w:rsid w:val="008D74C9"/>
    <w:rsid w:val="008D7DEB"/>
    <w:rsid w:val="008E0911"/>
    <w:rsid w:val="008E11D0"/>
    <w:rsid w:val="008E33EC"/>
    <w:rsid w:val="008E405A"/>
    <w:rsid w:val="008E4B06"/>
    <w:rsid w:val="008E4E95"/>
    <w:rsid w:val="008E5978"/>
    <w:rsid w:val="008E5E02"/>
    <w:rsid w:val="008E652B"/>
    <w:rsid w:val="008E695B"/>
    <w:rsid w:val="008E6DFE"/>
    <w:rsid w:val="008E703E"/>
    <w:rsid w:val="008E7D66"/>
    <w:rsid w:val="008F0255"/>
    <w:rsid w:val="008F0387"/>
    <w:rsid w:val="008F1245"/>
    <w:rsid w:val="008F14A3"/>
    <w:rsid w:val="008F1E42"/>
    <w:rsid w:val="008F2E6B"/>
    <w:rsid w:val="008F327D"/>
    <w:rsid w:val="008F3B18"/>
    <w:rsid w:val="008F4041"/>
    <w:rsid w:val="008F5638"/>
    <w:rsid w:val="008F56EF"/>
    <w:rsid w:val="008F5C53"/>
    <w:rsid w:val="008F6A56"/>
    <w:rsid w:val="008F7208"/>
    <w:rsid w:val="008F7664"/>
    <w:rsid w:val="008F799E"/>
    <w:rsid w:val="008F79F4"/>
    <w:rsid w:val="0090026E"/>
    <w:rsid w:val="009017F5"/>
    <w:rsid w:val="00902031"/>
    <w:rsid w:val="00902BCF"/>
    <w:rsid w:val="0090331B"/>
    <w:rsid w:val="0090481F"/>
    <w:rsid w:val="009051D8"/>
    <w:rsid w:val="00906A8C"/>
    <w:rsid w:val="00906BB4"/>
    <w:rsid w:val="00906EFE"/>
    <w:rsid w:val="00906FF3"/>
    <w:rsid w:val="00907015"/>
    <w:rsid w:val="00910AD6"/>
    <w:rsid w:val="0091116E"/>
    <w:rsid w:val="00911D29"/>
    <w:rsid w:val="00911ED9"/>
    <w:rsid w:val="00915E75"/>
    <w:rsid w:val="009168B5"/>
    <w:rsid w:val="009172B3"/>
    <w:rsid w:val="00917896"/>
    <w:rsid w:val="009179A8"/>
    <w:rsid w:val="0092008C"/>
    <w:rsid w:val="00920E94"/>
    <w:rsid w:val="00924295"/>
    <w:rsid w:val="00924EDE"/>
    <w:rsid w:val="0092518E"/>
    <w:rsid w:val="00925A4B"/>
    <w:rsid w:val="00927680"/>
    <w:rsid w:val="00927B06"/>
    <w:rsid w:val="00927D8F"/>
    <w:rsid w:val="00931D8A"/>
    <w:rsid w:val="00932B20"/>
    <w:rsid w:val="00932F0E"/>
    <w:rsid w:val="00933A1B"/>
    <w:rsid w:val="00935353"/>
    <w:rsid w:val="00935A40"/>
    <w:rsid w:val="009361D3"/>
    <w:rsid w:val="009367D3"/>
    <w:rsid w:val="00937657"/>
    <w:rsid w:val="009406DD"/>
    <w:rsid w:val="009418B0"/>
    <w:rsid w:val="00941A6F"/>
    <w:rsid w:val="00942D71"/>
    <w:rsid w:val="00950505"/>
    <w:rsid w:val="009561F4"/>
    <w:rsid w:val="009574FB"/>
    <w:rsid w:val="00960912"/>
    <w:rsid w:val="009611ED"/>
    <w:rsid w:val="0096194E"/>
    <w:rsid w:val="00962825"/>
    <w:rsid w:val="00967982"/>
    <w:rsid w:val="00967B8F"/>
    <w:rsid w:val="00971AA1"/>
    <w:rsid w:val="00972544"/>
    <w:rsid w:val="009744F3"/>
    <w:rsid w:val="00975D0F"/>
    <w:rsid w:val="00975D50"/>
    <w:rsid w:val="0097614A"/>
    <w:rsid w:val="0098025A"/>
    <w:rsid w:val="00981BC2"/>
    <w:rsid w:val="00985440"/>
    <w:rsid w:val="00986011"/>
    <w:rsid w:val="009864F8"/>
    <w:rsid w:val="00987BAD"/>
    <w:rsid w:val="009915CC"/>
    <w:rsid w:val="00991C5F"/>
    <w:rsid w:val="00992EC1"/>
    <w:rsid w:val="00993AD4"/>
    <w:rsid w:val="0099496F"/>
    <w:rsid w:val="00995B4A"/>
    <w:rsid w:val="00997C6D"/>
    <w:rsid w:val="00997E13"/>
    <w:rsid w:val="009A0306"/>
    <w:rsid w:val="009A109C"/>
    <w:rsid w:val="009A15E5"/>
    <w:rsid w:val="009A1B25"/>
    <w:rsid w:val="009A1EFC"/>
    <w:rsid w:val="009A29FC"/>
    <w:rsid w:val="009A349F"/>
    <w:rsid w:val="009A365A"/>
    <w:rsid w:val="009A3EF0"/>
    <w:rsid w:val="009A4BCA"/>
    <w:rsid w:val="009A4BCB"/>
    <w:rsid w:val="009A61FA"/>
    <w:rsid w:val="009B0576"/>
    <w:rsid w:val="009B057A"/>
    <w:rsid w:val="009B1209"/>
    <w:rsid w:val="009B1240"/>
    <w:rsid w:val="009B3D65"/>
    <w:rsid w:val="009B5087"/>
    <w:rsid w:val="009B5B56"/>
    <w:rsid w:val="009B5C63"/>
    <w:rsid w:val="009B5CE7"/>
    <w:rsid w:val="009B7413"/>
    <w:rsid w:val="009B7C4F"/>
    <w:rsid w:val="009C0506"/>
    <w:rsid w:val="009C1484"/>
    <w:rsid w:val="009C2226"/>
    <w:rsid w:val="009C291E"/>
    <w:rsid w:val="009C386B"/>
    <w:rsid w:val="009C39AC"/>
    <w:rsid w:val="009C3B53"/>
    <w:rsid w:val="009C4ADE"/>
    <w:rsid w:val="009C4C05"/>
    <w:rsid w:val="009C5EAF"/>
    <w:rsid w:val="009D06C8"/>
    <w:rsid w:val="009D45E3"/>
    <w:rsid w:val="009D4706"/>
    <w:rsid w:val="009D47C3"/>
    <w:rsid w:val="009D4A70"/>
    <w:rsid w:val="009D4BA4"/>
    <w:rsid w:val="009D4DC3"/>
    <w:rsid w:val="009D539B"/>
    <w:rsid w:val="009D7000"/>
    <w:rsid w:val="009E00DE"/>
    <w:rsid w:val="009E192A"/>
    <w:rsid w:val="009E24E7"/>
    <w:rsid w:val="009E2794"/>
    <w:rsid w:val="009E4980"/>
    <w:rsid w:val="009E4CA4"/>
    <w:rsid w:val="009E56A3"/>
    <w:rsid w:val="009E6A31"/>
    <w:rsid w:val="009E6B3D"/>
    <w:rsid w:val="009E756D"/>
    <w:rsid w:val="009E7E38"/>
    <w:rsid w:val="009F015D"/>
    <w:rsid w:val="009F1DC5"/>
    <w:rsid w:val="009F26E5"/>
    <w:rsid w:val="009F32BC"/>
    <w:rsid w:val="009F33C8"/>
    <w:rsid w:val="009F3C06"/>
    <w:rsid w:val="009F3C59"/>
    <w:rsid w:val="009F45BB"/>
    <w:rsid w:val="009F51B9"/>
    <w:rsid w:val="009F56E6"/>
    <w:rsid w:val="009F64F7"/>
    <w:rsid w:val="009F7DA6"/>
    <w:rsid w:val="009F7E37"/>
    <w:rsid w:val="00A0036B"/>
    <w:rsid w:val="00A003B7"/>
    <w:rsid w:val="00A017B0"/>
    <w:rsid w:val="00A029A6"/>
    <w:rsid w:val="00A033F2"/>
    <w:rsid w:val="00A0541E"/>
    <w:rsid w:val="00A056BC"/>
    <w:rsid w:val="00A05A89"/>
    <w:rsid w:val="00A0606D"/>
    <w:rsid w:val="00A07369"/>
    <w:rsid w:val="00A07589"/>
    <w:rsid w:val="00A07DC4"/>
    <w:rsid w:val="00A113DB"/>
    <w:rsid w:val="00A114D3"/>
    <w:rsid w:val="00A13FC0"/>
    <w:rsid w:val="00A14010"/>
    <w:rsid w:val="00A16F77"/>
    <w:rsid w:val="00A2032C"/>
    <w:rsid w:val="00A22D47"/>
    <w:rsid w:val="00A22EC5"/>
    <w:rsid w:val="00A234C2"/>
    <w:rsid w:val="00A248B6"/>
    <w:rsid w:val="00A25BAB"/>
    <w:rsid w:val="00A267CF"/>
    <w:rsid w:val="00A26831"/>
    <w:rsid w:val="00A26B97"/>
    <w:rsid w:val="00A27DDD"/>
    <w:rsid w:val="00A305C9"/>
    <w:rsid w:val="00A34AF6"/>
    <w:rsid w:val="00A3588F"/>
    <w:rsid w:val="00A35B80"/>
    <w:rsid w:val="00A35E17"/>
    <w:rsid w:val="00A363E4"/>
    <w:rsid w:val="00A36566"/>
    <w:rsid w:val="00A3684D"/>
    <w:rsid w:val="00A4086E"/>
    <w:rsid w:val="00A43719"/>
    <w:rsid w:val="00A43C77"/>
    <w:rsid w:val="00A441B1"/>
    <w:rsid w:val="00A44DBB"/>
    <w:rsid w:val="00A46F8E"/>
    <w:rsid w:val="00A470CC"/>
    <w:rsid w:val="00A47200"/>
    <w:rsid w:val="00A47E64"/>
    <w:rsid w:val="00A50574"/>
    <w:rsid w:val="00A507E3"/>
    <w:rsid w:val="00A507F2"/>
    <w:rsid w:val="00A50C13"/>
    <w:rsid w:val="00A51756"/>
    <w:rsid w:val="00A519FB"/>
    <w:rsid w:val="00A51CCF"/>
    <w:rsid w:val="00A520BB"/>
    <w:rsid w:val="00A527A2"/>
    <w:rsid w:val="00A545D7"/>
    <w:rsid w:val="00A548A2"/>
    <w:rsid w:val="00A550B4"/>
    <w:rsid w:val="00A55DD2"/>
    <w:rsid w:val="00A56E8D"/>
    <w:rsid w:val="00A573E9"/>
    <w:rsid w:val="00A614EC"/>
    <w:rsid w:val="00A61E80"/>
    <w:rsid w:val="00A6273D"/>
    <w:rsid w:val="00A63189"/>
    <w:rsid w:val="00A6465D"/>
    <w:rsid w:val="00A64DD5"/>
    <w:rsid w:val="00A64E95"/>
    <w:rsid w:val="00A66311"/>
    <w:rsid w:val="00A667DC"/>
    <w:rsid w:val="00A67A63"/>
    <w:rsid w:val="00A703F6"/>
    <w:rsid w:val="00A70D39"/>
    <w:rsid w:val="00A72013"/>
    <w:rsid w:val="00A72EA7"/>
    <w:rsid w:val="00A758BD"/>
    <w:rsid w:val="00A80955"/>
    <w:rsid w:val="00A80ACF"/>
    <w:rsid w:val="00A81405"/>
    <w:rsid w:val="00A82462"/>
    <w:rsid w:val="00A84AC7"/>
    <w:rsid w:val="00A84DCE"/>
    <w:rsid w:val="00A86407"/>
    <w:rsid w:val="00A865A6"/>
    <w:rsid w:val="00A86C54"/>
    <w:rsid w:val="00A87ABC"/>
    <w:rsid w:val="00A87C70"/>
    <w:rsid w:val="00A87ED2"/>
    <w:rsid w:val="00A90310"/>
    <w:rsid w:val="00A919DC"/>
    <w:rsid w:val="00A91F02"/>
    <w:rsid w:val="00A93088"/>
    <w:rsid w:val="00A946B4"/>
    <w:rsid w:val="00A9476A"/>
    <w:rsid w:val="00A94CBE"/>
    <w:rsid w:val="00A956E4"/>
    <w:rsid w:val="00A95899"/>
    <w:rsid w:val="00A96CC9"/>
    <w:rsid w:val="00A97924"/>
    <w:rsid w:val="00A97E62"/>
    <w:rsid w:val="00AA176C"/>
    <w:rsid w:val="00AA1B33"/>
    <w:rsid w:val="00AA2865"/>
    <w:rsid w:val="00AA29DE"/>
    <w:rsid w:val="00AA2AFE"/>
    <w:rsid w:val="00AA3532"/>
    <w:rsid w:val="00AA565E"/>
    <w:rsid w:val="00AA5963"/>
    <w:rsid w:val="00AA5A1D"/>
    <w:rsid w:val="00AA64C6"/>
    <w:rsid w:val="00AA6ABC"/>
    <w:rsid w:val="00AB0BBE"/>
    <w:rsid w:val="00AB1352"/>
    <w:rsid w:val="00AB21D2"/>
    <w:rsid w:val="00AB2D4F"/>
    <w:rsid w:val="00AB5846"/>
    <w:rsid w:val="00AB5AEA"/>
    <w:rsid w:val="00AC0BD7"/>
    <w:rsid w:val="00AC12C7"/>
    <w:rsid w:val="00AC2042"/>
    <w:rsid w:val="00AC2B26"/>
    <w:rsid w:val="00AC30D0"/>
    <w:rsid w:val="00AC33D2"/>
    <w:rsid w:val="00AC7869"/>
    <w:rsid w:val="00AC7D3A"/>
    <w:rsid w:val="00AD015F"/>
    <w:rsid w:val="00AD07F2"/>
    <w:rsid w:val="00AD0EAC"/>
    <w:rsid w:val="00AD10A0"/>
    <w:rsid w:val="00AD10F8"/>
    <w:rsid w:val="00AD1477"/>
    <w:rsid w:val="00AD2334"/>
    <w:rsid w:val="00AD41B2"/>
    <w:rsid w:val="00AD5735"/>
    <w:rsid w:val="00AD58C4"/>
    <w:rsid w:val="00AD5940"/>
    <w:rsid w:val="00AD5962"/>
    <w:rsid w:val="00AE0DB0"/>
    <w:rsid w:val="00AE1C18"/>
    <w:rsid w:val="00AE22AE"/>
    <w:rsid w:val="00AE24B0"/>
    <w:rsid w:val="00AE267F"/>
    <w:rsid w:val="00AE2F51"/>
    <w:rsid w:val="00AE3770"/>
    <w:rsid w:val="00AE3FA4"/>
    <w:rsid w:val="00AE4BC3"/>
    <w:rsid w:val="00AE5F87"/>
    <w:rsid w:val="00AF12A3"/>
    <w:rsid w:val="00AF209E"/>
    <w:rsid w:val="00AF3C60"/>
    <w:rsid w:val="00AF4FC4"/>
    <w:rsid w:val="00B00680"/>
    <w:rsid w:val="00B00A80"/>
    <w:rsid w:val="00B01895"/>
    <w:rsid w:val="00B026A5"/>
    <w:rsid w:val="00B03487"/>
    <w:rsid w:val="00B046B2"/>
    <w:rsid w:val="00B0523E"/>
    <w:rsid w:val="00B05332"/>
    <w:rsid w:val="00B05880"/>
    <w:rsid w:val="00B05AE2"/>
    <w:rsid w:val="00B0600A"/>
    <w:rsid w:val="00B0634A"/>
    <w:rsid w:val="00B065FC"/>
    <w:rsid w:val="00B0685A"/>
    <w:rsid w:val="00B12289"/>
    <w:rsid w:val="00B127AF"/>
    <w:rsid w:val="00B178EE"/>
    <w:rsid w:val="00B20BD6"/>
    <w:rsid w:val="00B21A14"/>
    <w:rsid w:val="00B21E36"/>
    <w:rsid w:val="00B22C05"/>
    <w:rsid w:val="00B236F1"/>
    <w:rsid w:val="00B23DAA"/>
    <w:rsid w:val="00B23E35"/>
    <w:rsid w:val="00B2447F"/>
    <w:rsid w:val="00B272A7"/>
    <w:rsid w:val="00B31C25"/>
    <w:rsid w:val="00B32DF8"/>
    <w:rsid w:val="00B33114"/>
    <w:rsid w:val="00B338A3"/>
    <w:rsid w:val="00B34162"/>
    <w:rsid w:val="00B346AA"/>
    <w:rsid w:val="00B3666A"/>
    <w:rsid w:val="00B3683C"/>
    <w:rsid w:val="00B40EAE"/>
    <w:rsid w:val="00B42371"/>
    <w:rsid w:val="00B432F8"/>
    <w:rsid w:val="00B43958"/>
    <w:rsid w:val="00B44151"/>
    <w:rsid w:val="00B44804"/>
    <w:rsid w:val="00B4498C"/>
    <w:rsid w:val="00B44A77"/>
    <w:rsid w:val="00B45200"/>
    <w:rsid w:val="00B456DC"/>
    <w:rsid w:val="00B45806"/>
    <w:rsid w:val="00B4666E"/>
    <w:rsid w:val="00B469A1"/>
    <w:rsid w:val="00B47E42"/>
    <w:rsid w:val="00B51FC6"/>
    <w:rsid w:val="00B525CB"/>
    <w:rsid w:val="00B5297C"/>
    <w:rsid w:val="00B533DE"/>
    <w:rsid w:val="00B5382F"/>
    <w:rsid w:val="00B53C64"/>
    <w:rsid w:val="00B53DAC"/>
    <w:rsid w:val="00B546FD"/>
    <w:rsid w:val="00B55997"/>
    <w:rsid w:val="00B56148"/>
    <w:rsid w:val="00B570BF"/>
    <w:rsid w:val="00B6137B"/>
    <w:rsid w:val="00B613EB"/>
    <w:rsid w:val="00B614C7"/>
    <w:rsid w:val="00B61650"/>
    <w:rsid w:val="00B62D04"/>
    <w:rsid w:val="00B63785"/>
    <w:rsid w:val="00B65DCC"/>
    <w:rsid w:val="00B662A5"/>
    <w:rsid w:val="00B66322"/>
    <w:rsid w:val="00B66719"/>
    <w:rsid w:val="00B67356"/>
    <w:rsid w:val="00B67FDF"/>
    <w:rsid w:val="00B707B2"/>
    <w:rsid w:val="00B708A2"/>
    <w:rsid w:val="00B7159B"/>
    <w:rsid w:val="00B71F1A"/>
    <w:rsid w:val="00B7238B"/>
    <w:rsid w:val="00B737B5"/>
    <w:rsid w:val="00B76555"/>
    <w:rsid w:val="00B7799F"/>
    <w:rsid w:val="00B77A2A"/>
    <w:rsid w:val="00B81067"/>
    <w:rsid w:val="00B8168E"/>
    <w:rsid w:val="00B81C75"/>
    <w:rsid w:val="00B83081"/>
    <w:rsid w:val="00B8377E"/>
    <w:rsid w:val="00B85A33"/>
    <w:rsid w:val="00B8743A"/>
    <w:rsid w:val="00B87472"/>
    <w:rsid w:val="00B91E00"/>
    <w:rsid w:val="00B92CB0"/>
    <w:rsid w:val="00B93526"/>
    <w:rsid w:val="00B93660"/>
    <w:rsid w:val="00B93904"/>
    <w:rsid w:val="00B93AE3"/>
    <w:rsid w:val="00B9799F"/>
    <w:rsid w:val="00B97C98"/>
    <w:rsid w:val="00B97EDB"/>
    <w:rsid w:val="00BA0D49"/>
    <w:rsid w:val="00BA169C"/>
    <w:rsid w:val="00BA1896"/>
    <w:rsid w:val="00BA221D"/>
    <w:rsid w:val="00BA3F9E"/>
    <w:rsid w:val="00BA57AE"/>
    <w:rsid w:val="00BA5F21"/>
    <w:rsid w:val="00BA62F8"/>
    <w:rsid w:val="00BA63D6"/>
    <w:rsid w:val="00BA6B8B"/>
    <w:rsid w:val="00BA7BBB"/>
    <w:rsid w:val="00BB0B1F"/>
    <w:rsid w:val="00BB1554"/>
    <w:rsid w:val="00BB21FF"/>
    <w:rsid w:val="00BB23E2"/>
    <w:rsid w:val="00BB2B00"/>
    <w:rsid w:val="00BB2FFA"/>
    <w:rsid w:val="00BB3A9D"/>
    <w:rsid w:val="00BB3B9B"/>
    <w:rsid w:val="00BB4831"/>
    <w:rsid w:val="00BB5864"/>
    <w:rsid w:val="00BC06EE"/>
    <w:rsid w:val="00BC0B18"/>
    <w:rsid w:val="00BC1240"/>
    <w:rsid w:val="00BC1B4C"/>
    <w:rsid w:val="00BC1D8F"/>
    <w:rsid w:val="00BC4F4C"/>
    <w:rsid w:val="00BC6551"/>
    <w:rsid w:val="00BD1E20"/>
    <w:rsid w:val="00BD2928"/>
    <w:rsid w:val="00BD3974"/>
    <w:rsid w:val="00BD3BA9"/>
    <w:rsid w:val="00BD426C"/>
    <w:rsid w:val="00BE0396"/>
    <w:rsid w:val="00BE09D8"/>
    <w:rsid w:val="00BE1DC5"/>
    <w:rsid w:val="00BE280F"/>
    <w:rsid w:val="00BE4FBB"/>
    <w:rsid w:val="00BE54F7"/>
    <w:rsid w:val="00BF02E9"/>
    <w:rsid w:val="00BF050A"/>
    <w:rsid w:val="00BF06C7"/>
    <w:rsid w:val="00BF20EF"/>
    <w:rsid w:val="00BF430C"/>
    <w:rsid w:val="00BF4BE2"/>
    <w:rsid w:val="00BF56DA"/>
    <w:rsid w:val="00BF68DB"/>
    <w:rsid w:val="00BF6E24"/>
    <w:rsid w:val="00BF720C"/>
    <w:rsid w:val="00BF732F"/>
    <w:rsid w:val="00C02086"/>
    <w:rsid w:val="00C0289B"/>
    <w:rsid w:val="00C045BE"/>
    <w:rsid w:val="00C0563D"/>
    <w:rsid w:val="00C06225"/>
    <w:rsid w:val="00C068DE"/>
    <w:rsid w:val="00C119E3"/>
    <w:rsid w:val="00C1208B"/>
    <w:rsid w:val="00C125E8"/>
    <w:rsid w:val="00C14665"/>
    <w:rsid w:val="00C16D5F"/>
    <w:rsid w:val="00C20364"/>
    <w:rsid w:val="00C20914"/>
    <w:rsid w:val="00C20F91"/>
    <w:rsid w:val="00C214BE"/>
    <w:rsid w:val="00C251E5"/>
    <w:rsid w:val="00C25ADE"/>
    <w:rsid w:val="00C270C3"/>
    <w:rsid w:val="00C30638"/>
    <w:rsid w:val="00C31BA4"/>
    <w:rsid w:val="00C3224F"/>
    <w:rsid w:val="00C3268C"/>
    <w:rsid w:val="00C32982"/>
    <w:rsid w:val="00C33A36"/>
    <w:rsid w:val="00C33B92"/>
    <w:rsid w:val="00C34142"/>
    <w:rsid w:val="00C34D9D"/>
    <w:rsid w:val="00C34F5B"/>
    <w:rsid w:val="00C36D6B"/>
    <w:rsid w:val="00C3701C"/>
    <w:rsid w:val="00C37779"/>
    <w:rsid w:val="00C41110"/>
    <w:rsid w:val="00C41F0B"/>
    <w:rsid w:val="00C4349C"/>
    <w:rsid w:val="00C43E95"/>
    <w:rsid w:val="00C441BA"/>
    <w:rsid w:val="00C47473"/>
    <w:rsid w:val="00C50D1D"/>
    <w:rsid w:val="00C5263D"/>
    <w:rsid w:val="00C52DB4"/>
    <w:rsid w:val="00C54358"/>
    <w:rsid w:val="00C55294"/>
    <w:rsid w:val="00C55DB6"/>
    <w:rsid w:val="00C61D41"/>
    <w:rsid w:val="00C62AB2"/>
    <w:rsid w:val="00C64326"/>
    <w:rsid w:val="00C64EC7"/>
    <w:rsid w:val="00C65779"/>
    <w:rsid w:val="00C66069"/>
    <w:rsid w:val="00C67C84"/>
    <w:rsid w:val="00C7094E"/>
    <w:rsid w:val="00C7103A"/>
    <w:rsid w:val="00C711FC"/>
    <w:rsid w:val="00C722A2"/>
    <w:rsid w:val="00C73FA6"/>
    <w:rsid w:val="00C761AD"/>
    <w:rsid w:val="00C7740B"/>
    <w:rsid w:val="00C7778F"/>
    <w:rsid w:val="00C81168"/>
    <w:rsid w:val="00C82077"/>
    <w:rsid w:val="00C836B5"/>
    <w:rsid w:val="00C8709A"/>
    <w:rsid w:val="00C9087C"/>
    <w:rsid w:val="00C91548"/>
    <w:rsid w:val="00C94F77"/>
    <w:rsid w:val="00C95F27"/>
    <w:rsid w:val="00C96561"/>
    <w:rsid w:val="00CA0B23"/>
    <w:rsid w:val="00CA15F2"/>
    <w:rsid w:val="00CA1C8F"/>
    <w:rsid w:val="00CA4420"/>
    <w:rsid w:val="00CA491C"/>
    <w:rsid w:val="00CA5715"/>
    <w:rsid w:val="00CA581E"/>
    <w:rsid w:val="00CA58D4"/>
    <w:rsid w:val="00CB174A"/>
    <w:rsid w:val="00CB2B3D"/>
    <w:rsid w:val="00CB32B5"/>
    <w:rsid w:val="00CB48E8"/>
    <w:rsid w:val="00CB5052"/>
    <w:rsid w:val="00CB6C7C"/>
    <w:rsid w:val="00CB7188"/>
    <w:rsid w:val="00CB7477"/>
    <w:rsid w:val="00CC0994"/>
    <w:rsid w:val="00CC0C8C"/>
    <w:rsid w:val="00CC191F"/>
    <w:rsid w:val="00CC2376"/>
    <w:rsid w:val="00CC3526"/>
    <w:rsid w:val="00CC4602"/>
    <w:rsid w:val="00CC76C6"/>
    <w:rsid w:val="00CC7BCA"/>
    <w:rsid w:val="00CC7C61"/>
    <w:rsid w:val="00CD3598"/>
    <w:rsid w:val="00CD366B"/>
    <w:rsid w:val="00CD3E83"/>
    <w:rsid w:val="00CD441F"/>
    <w:rsid w:val="00CD59E6"/>
    <w:rsid w:val="00CD5E2C"/>
    <w:rsid w:val="00CD783C"/>
    <w:rsid w:val="00CE18AE"/>
    <w:rsid w:val="00CE1BAE"/>
    <w:rsid w:val="00CE26F9"/>
    <w:rsid w:val="00CE364C"/>
    <w:rsid w:val="00CE3C08"/>
    <w:rsid w:val="00CE3DAC"/>
    <w:rsid w:val="00CE43AF"/>
    <w:rsid w:val="00CE4657"/>
    <w:rsid w:val="00CE4C2D"/>
    <w:rsid w:val="00CE4F83"/>
    <w:rsid w:val="00CE639E"/>
    <w:rsid w:val="00CE737E"/>
    <w:rsid w:val="00CE7F4F"/>
    <w:rsid w:val="00CF2AFA"/>
    <w:rsid w:val="00CF2EF6"/>
    <w:rsid w:val="00CF2F01"/>
    <w:rsid w:val="00CF41F1"/>
    <w:rsid w:val="00CF469E"/>
    <w:rsid w:val="00CF494D"/>
    <w:rsid w:val="00CF5060"/>
    <w:rsid w:val="00CF5348"/>
    <w:rsid w:val="00CF6269"/>
    <w:rsid w:val="00CF6A9A"/>
    <w:rsid w:val="00CF775F"/>
    <w:rsid w:val="00CF7C29"/>
    <w:rsid w:val="00D03B2E"/>
    <w:rsid w:val="00D04CE5"/>
    <w:rsid w:val="00D0555E"/>
    <w:rsid w:val="00D06978"/>
    <w:rsid w:val="00D06C57"/>
    <w:rsid w:val="00D07DD0"/>
    <w:rsid w:val="00D101D0"/>
    <w:rsid w:val="00D10D01"/>
    <w:rsid w:val="00D10F03"/>
    <w:rsid w:val="00D119E4"/>
    <w:rsid w:val="00D12A50"/>
    <w:rsid w:val="00D133FE"/>
    <w:rsid w:val="00D13689"/>
    <w:rsid w:val="00D15141"/>
    <w:rsid w:val="00D15FE8"/>
    <w:rsid w:val="00D16060"/>
    <w:rsid w:val="00D16BC8"/>
    <w:rsid w:val="00D16D7A"/>
    <w:rsid w:val="00D204B3"/>
    <w:rsid w:val="00D206CA"/>
    <w:rsid w:val="00D22D0D"/>
    <w:rsid w:val="00D23FEA"/>
    <w:rsid w:val="00D259F8"/>
    <w:rsid w:val="00D2603F"/>
    <w:rsid w:val="00D262D6"/>
    <w:rsid w:val="00D26E94"/>
    <w:rsid w:val="00D2721B"/>
    <w:rsid w:val="00D27280"/>
    <w:rsid w:val="00D276A4"/>
    <w:rsid w:val="00D32288"/>
    <w:rsid w:val="00D3496D"/>
    <w:rsid w:val="00D357FC"/>
    <w:rsid w:val="00D37AF6"/>
    <w:rsid w:val="00D40D24"/>
    <w:rsid w:val="00D41297"/>
    <w:rsid w:val="00D417DD"/>
    <w:rsid w:val="00D418F9"/>
    <w:rsid w:val="00D41CBA"/>
    <w:rsid w:val="00D42567"/>
    <w:rsid w:val="00D4330B"/>
    <w:rsid w:val="00D4502A"/>
    <w:rsid w:val="00D452CC"/>
    <w:rsid w:val="00D458BF"/>
    <w:rsid w:val="00D50F18"/>
    <w:rsid w:val="00D51459"/>
    <w:rsid w:val="00D52EFE"/>
    <w:rsid w:val="00D53132"/>
    <w:rsid w:val="00D5468D"/>
    <w:rsid w:val="00D56B44"/>
    <w:rsid w:val="00D57E47"/>
    <w:rsid w:val="00D620D5"/>
    <w:rsid w:val="00D63483"/>
    <w:rsid w:val="00D642EB"/>
    <w:rsid w:val="00D64401"/>
    <w:rsid w:val="00D64955"/>
    <w:rsid w:val="00D64C6F"/>
    <w:rsid w:val="00D652F9"/>
    <w:rsid w:val="00D653BB"/>
    <w:rsid w:val="00D66529"/>
    <w:rsid w:val="00D67EFA"/>
    <w:rsid w:val="00D70B6E"/>
    <w:rsid w:val="00D70EAF"/>
    <w:rsid w:val="00D71885"/>
    <w:rsid w:val="00D72C35"/>
    <w:rsid w:val="00D7459C"/>
    <w:rsid w:val="00D747FE"/>
    <w:rsid w:val="00D77589"/>
    <w:rsid w:val="00D77B0F"/>
    <w:rsid w:val="00D77C4B"/>
    <w:rsid w:val="00D8144D"/>
    <w:rsid w:val="00D83044"/>
    <w:rsid w:val="00D83071"/>
    <w:rsid w:val="00D83EA6"/>
    <w:rsid w:val="00D84243"/>
    <w:rsid w:val="00D90285"/>
    <w:rsid w:val="00D92DAC"/>
    <w:rsid w:val="00D9318E"/>
    <w:rsid w:val="00D93739"/>
    <w:rsid w:val="00D94A95"/>
    <w:rsid w:val="00D94B4C"/>
    <w:rsid w:val="00D9504E"/>
    <w:rsid w:val="00D9566C"/>
    <w:rsid w:val="00D95FD1"/>
    <w:rsid w:val="00D97FBF"/>
    <w:rsid w:val="00DA0512"/>
    <w:rsid w:val="00DA0BCD"/>
    <w:rsid w:val="00DA0EC9"/>
    <w:rsid w:val="00DA14FA"/>
    <w:rsid w:val="00DA2BD0"/>
    <w:rsid w:val="00DA4395"/>
    <w:rsid w:val="00DA6209"/>
    <w:rsid w:val="00DB0ACB"/>
    <w:rsid w:val="00DB1E2A"/>
    <w:rsid w:val="00DB28D1"/>
    <w:rsid w:val="00DB2FD0"/>
    <w:rsid w:val="00DB2FEA"/>
    <w:rsid w:val="00DB53E3"/>
    <w:rsid w:val="00DB6E34"/>
    <w:rsid w:val="00DB715C"/>
    <w:rsid w:val="00DB71F7"/>
    <w:rsid w:val="00DB7841"/>
    <w:rsid w:val="00DC05AC"/>
    <w:rsid w:val="00DC193A"/>
    <w:rsid w:val="00DC2BD2"/>
    <w:rsid w:val="00DC50E6"/>
    <w:rsid w:val="00DD2119"/>
    <w:rsid w:val="00DD23BA"/>
    <w:rsid w:val="00DD3967"/>
    <w:rsid w:val="00DD45D1"/>
    <w:rsid w:val="00DD512F"/>
    <w:rsid w:val="00DD5253"/>
    <w:rsid w:val="00DD63B5"/>
    <w:rsid w:val="00DD6595"/>
    <w:rsid w:val="00DD6715"/>
    <w:rsid w:val="00DD6921"/>
    <w:rsid w:val="00DD6CD5"/>
    <w:rsid w:val="00DD7B81"/>
    <w:rsid w:val="00DE03B8"/>
    <w:rsid w:val="00DE1233"/>
    <w:rsid w:val="00DE1F7B"/>
    <w:rsid w:val="00DE265F"/>
    <w:rsid w:val="00DE297E"/>
    <w:rsid w:val="00DE3096"/>
    <w:rsid w:val="00DE4C83"/>
    <w:rsid w:val="00DE554D"/>
    <w:rsid w:val="00DE6DFE"/>
    <w:rsid w:val="00DF0232"/>
    <w:rsid w:val="00DF070A"/>
    <w:rsid w:val="00DF0A36"/>
    <w:rsid w:val="00DF12A4"/>
    <w:rsid w:val="00DF2380"/>
    <w:rsid w:val="00DF2976"/>
    <w:rsid w:val="00DF2DAA"/>
    <w:rsid w:val="00DF4537"/>
    <w:rsid w:val="00DF692B"/>
    <w:rsid w:val="00E00C54"/>
    <w:rsid w:val="00E038D3"/>
    <w:rsid w:val="00E04391"/>
    <w:rsid w:val="00E056C3"/>
    <w:rsid w:val="00E05807"/>
    <w:rsid w:val="00E06B1D"/>
    <w:rsid w:val="00E07D7C"/>
    <w:rsid w:val="00E10ADA"/>
    <w:rsid w:val="00E10B3D"/>
    <w:rsid w:val="00E10D22"/>
    <w:rsid w:val="00E11D84"/>
    <w:rsid w:val="00E123D4"/>
    <w:rsid w:val="00E12F47"/>
    <w:rsid w:val="00E13A51"/>
    <w:rsid w:val="00E13CBE"/>
    <w:rsid w:val="00E13D19"/>
    <w:rsid w:val="00E160B8"/>
    <w:rsid w:val="00E16873"/>
    <w:rsid w:val="00E17129"/>
    <w:rsid w:val="00E17167"/>
    <w:rsid w:val="00E171F1"/>
    <w:rsid w:val="00E17A73"/>
    <w:rsid w:val="00E201E9"/>
    <w:rsid w:val="00E21220"/>
    <w:rsid w:val="00E21866"/>
    <w:rsid w:val="00E21B47"/>
    <w:rsid w:val="00E222C2"/>
    <w:rsid w:val="00E22493"/>
    <w:rsid w:val="00E22C3C"/>
    <w:rsid w:val="00E23D12"/>
    <w:rsid w:val="00E26EC6"/>
    <w:rsid w:val="00E27AD8"/>
    <w:rsid w:val="00E27B5E"/>
    <w:rsid w:val="00E30C60"/>
    <w:rsid w:val="00E3149F"/>
    <w:rsid w:val="00E31C67"/>
    <w:rsid w:val="00E33D5E"/>
    <w:rsid w:val="00E3400F"/>
    <w:rsid w:val="00E342E8"/>
    <w:rsid w:val="00E344FC"/>
    <w:rsid w:val="00E3534A"/>
    <w:rsid w:val="00E35646"/>
    <w:rsid w:val="00E373FB"/>
    <w:rsid w:val="00E3745A"/>
    <w:rsid w:val="00E40E3A"/>
    <w:rsid w:val="00E40EE2"/>
    <w:rsid w:val="00E419AB"/>
    <w:rsid w:val="00E432D0"/>
    <w:rsid w:val="00E44369"/>
    <w:rsid w:val="00E45A9A"/>
    <w:rsid w:val="00E45DF7"/>
    <w:rsid w:val="00E50070"/>
    <w:rsid w:val="00E52D60"/>
    <w:rsid w:val="00E54F6A"/>
    <w:rsid w:val="00E5560C"/>
    <w:rsid w:val="00E56011"/>
    <w:rsid w:val="00E56CC0"/>
    <w:rsid w:val="00E572E8"/>
    <w:rsid w:val="00E60540"/>
    <w:rsid w:val="00E608C3"/>
    <w:rsid w:val="00E624BF"/>
    <w:rsid w:val="00E636D8"/>
    <w:rsid w:val="00E65952"/>
    <w:rsid w:val="00E663E1"/>
    <w:rsid w:val="00E66805"/>
    <w:rsid w:val="00E66B67"/>
    <w:rsid w:val="00E6754B"/>
    <w:rsid w:val="00E6774D"/>
    <w:rsid w:val="00E677B1"/>
    <w:rsid w:val="00E70FA8"/>
    <w:rsid w:val="00E70FBB"/>
    <w:rsid w:val="00E72C9D"/>
    <w:rsid w:val="00E73046"/>
    <w:rsid w:val="00E7364B"/>
    <w:rsid w:val="00E739BE"/>
    <w:rsid w:val="00E73CE9"/>
    <w:rsid w:val="00E74759"/>
    <w:rsid w:val="00E74FE2"/>
    <w:rsid w:val="00E75B18"/>
    <w:rsid w:val="00E8041B"/>
    <w:rsid w:val="00E80740"/>
    <w:rsid w:val="00E80D32"/>
    <w:rsid w:val="00E81829"/>
    <w:rsid w:val="00E82068"/>
    <w:rsid w:val="00E82DDD"/>
    <w:rsid w:val="00E830C7"/>
    <w:rsid w:val="00E8327E"/>
    <w:rsid w:val="00E85475"/>
    <w:rsid w:val="00E85871"/>
    <w:rsid w:val="00E86D58"/>
    <w:rsid w:val="00E93E3C"/>
    <w:rsid w:val="00E94369"/>
    <w:rsid w:val="00E95658"/>
    <w:rsid w:val="00E95A06"/>
    <w:rsid w:val="00E969A8"/>
    <w:rsid w:val="00EA0287"/>
    <w:rsid w:val="00EA043A"/>
    <w:rsid w:val="00EA0B7D"/>
    <w:rsid w:val="00EA2B4C"/>
    <w:rsid w:val="00EA2DAE"/>
    <w:rsid w:val="00EA4264"/>
    <w:rsid w:val="00EA431D"/>
    <w:rsid w:val="00EA527F"/>
    <w:rsid w:val="00EA5D07"/>
    <w:rsid w:val="00EA636D"/>
    <w:rsid w:val="00EA779C"/>
    <w:rsid w:val="00EA7FAF"/>
    <w:rsid w:val="00EB1A23"/>
    <w:rsid w:val="00EB1A34"/>
    <w:rsid w:val="00EB1D0C"/>
    <w:rsid w:val="00EB3286"/>
    <w:rsid w:val="00EB34F1"/>
    <w:rsid w:val="00EB44EA"/>
    <w:rsid w:val="00EB4621"/>
    <w:rsid w:val="00EB47AC"/>
    <w:rsid w:val="00EB6BEF"/>
    <w:rsid w:val="00EB73DB"/>
    <w:rsid w:val="00EB7F71"/>
    <w:rsid w:val="00EC0E26"/>
    <w:rsid w:val="00EC162F"/>
    <w:rsid w:val="00EC1E89"/>
    <w:rsid w:val="00EC3E77"/>
    <w:rsid w:val="00EC4718"/>
    <w:rsid w:val="00EC4C6E"/>
    <w:rsid w:val="00EC4FE6"/>
    <w:rsid w:val="00EC50EB"/>
    <w:rsid w:val="00EC6BAF"/>
    <w:rsid w:val="00EC742C"/>
    <w:rsid w:val="00EC7D8F"/>
    <w:rsid w:val="00ED1416"/>
    <w:rsid w:val="00ED1604"/>
    <w:rsid w:val="00ED4B34"/>
    <w:rsid w:val="00ED4C6D"/>
    <w:rsid w:val="00ED7BFA"/>
    <w:rsid w:val="00EE06FE"/>
    <w:rsid w:val="00EE1B25"/>
    <w:rsid w:val="00EE36E7"/>
    <w:rsid w:val="00EE4318"/>
    <w:rsid w:val="00EE4357"/>
    <w:rsid w:val="00EE4B14"/>
    <w:rsid w:val="00EE665F"/>
    <w:rsid w:val="00EF00F7"/>
    <w:rsid w:val="00EF01C6"/>
    <w:rsid w:val="00EF1C69"/>
    <w:rsid w:val="00EF335B"/>
    <w:rsid w:val="00EF4C0D"/>
    <w:rsid w:val="00EF4FC5"/>
    <w:rsid w:val="00EF555C"/>
    <w:rsid w:val="00EF620E"/>
    <w:rsid w:val="00EF64F9"/>
    <w:rsid w:val="00F006A4"/>
    <w:rsid w:val="00F022C2"/>
    <w:rsid w:val="00F025B5"/>
    <w:rsid w:val="00F02C7A"/>
    <w:rsid w:val="00F02E64"/>
    <w:rsid w:val="00F03901"/>
    <w:rsid w:val="00F03CEC"/>
    <w:rsid w:val="00F10716"/>
    <w:rsid w:val="00F10C46"/>
    <w:rsid w:val="00F11598"/>
    <w:rsid w:val="00F11DDE"/>
    <w:rsid w:val="00F139A0"/>
    <w:rsid w:val="00F13E6B"/>
    <w:rsid w:val="00F145B1"/>
    <w:rsid w:val="00F20230"/>
    <w:rsid w:val="00F225A9"/>
    <w:rsid w:val="00F22DB1"/>
    <w:rsid w:val="00F24CC4"/>
    <w:rsid w:val="00F2538B"/>
    <w:rsid w:val="00F276BF"/>
    <w:rsid w:val="00F27DE6"/>
    <w:rsid w:val="00F33EC2"/>
    <w:rsid w:val="00F34946"/>
    <w:rsid w:val="00F34AE8"/>
    <w:rsid w:val="00F36070"/>
    <w:rsid w:val="00F36C10"/>
    <w:rsid w:val="00F3756D"/>
    <w:rsid w:val="00F4019D"/>
    <w:rsid w:val="00F40EC1"/>
    <w:rsid w:val="00F4203E"/>
    <w:rsid w:val="00F42690"/>
    <w:rsid w:val="00F42A50"/>
    <w:rsid w:val="00F4505C"/>
    <w:rsid w:val="00F46345"/>
    <w:rsid w:val="00F46E82"/>
    <w:rsid w:val="00F478CA"/>
    <w:rsid w:val="00F52517"/>
    <w:rsid w:val="00F52C77"/>
    <w:rsid w:val="00F52FF5"/>
    <w:rsid w:val="00F541A9"/>
    <w:rsid w:val="00F550C8"/>
    <w:rsid w:val="00F5617C"/>
    <w:rsid w:val="00F563CF"/>
    <w:rsid w:val="00F56AD6"/>
    <w:rsid w:val="00F56D9E"/>
    <w:rsid w:val="00F57211"/>
    <w:rsid w:val="00F61EE6"/>
    <w:rsid w:val="00F631D1"/>
    <w:rsid w:val="00F65581"/>
    <w:rsid w:val="00F6728C"/>
    <w:rsid w:val="00F67EBE"/>
    <w:rsid w:val="00F67F6A"/>
    <w:rsid w:val="00F71602"/>
    <w:rsid w:val="00F71F87"/>
    <w:rsid w:val="00F72F73"/>
    <w:rsid w:val="00F77207"/>
    <w:rsid w:val="00F778FE"/>
    <w:rsid w:val="00F802F8"/>
    <w:rsid w:val="00F80D79"/>
    <w:rsid w:val="00F825E6"/>
    <w:rsid w:val="00F82DF1"/>
    <w:rsid w:val="00F85A4D"/>
    <w:rsid w:val="00F8687C"/>
    <w:rsid w:val="00F87035"/>
    <w:rsid w:val="00F87794"/>
    <w:rsid w:val="00F9189E"/>
    <w:rsid w:val="00F91BCF"/>
    <w:rsid w:val="00F91C61"/>
    <w:rsid w:val="00F91DC3"/>
    <w:rsid w:val="00F922D6"/>
    <w:rsid w:val="00F9276E"/>
    <w:rsid w:val="00F94F28"/>
    <w:rsid w:val="00F952B4"/>
    <w:rsid w:val="00F9557E"/>
    <w:rsid w:val="00F96870"/>
    <w:rsid w:val="00F96D16"/>
    <w:rsid w:val="00F96FAC"/>
    <w:rsid w:val="00FA1889"/>
    <w:rsid w:val="00FA3E06"/>
    <w:rsid w:val="00FA5DD6"/>
    <w:rsid w:val="00FA5EA1"/>
    <w:rsid w:val="00FA7CB6"/>
    <w:rsid w:val="00FA7CD9"/>
    <w:rsid w:val="00FA7F8A"/>
    <w:rsid w:val="00FB0252"/>
    <w:rsid w:val="00FB07C3"/>
    <w:rsid w:val="00FB0888"/>
    <w:rsid w:val="00FB0BCF"/>
    <w:rsid w:val="00FB249C"/>
    <w:rsid w:val="00FB25BC"/>
    <w:rsid w:val="00FB5ED7"/>
    <w:rsid w:val="00FC0ACF"/>
    <w:rsid w:val="00FC1BC6"/>
    <w:rsid w:val="00FC202F"/>
    <w:rsid w:val="00FC2146"/>
    <w:rsid w:val="00FC2D7D"/>
    <w:rsid w:val="00FC32DF"/>
    <w:rsid w:val="00FC3D77"/>
    <w:rsid w:val="00FC5856"/>
    <w:rsid w:val="00FC5B24"/>
    <w:rsid w:val="00FC60C6"/>
    <w:rsid w:val="00FC71CD"/>
    <w:rsid w:val="00FD00EB"/>
    <w:rsid w:val="00FD01C9"/>
    <w:rsid w:val="00FD02FE"/>
    <w:rsid w:val="00FD3D2D"/>
    <w:rsid w:val="00FD49DF"/>
    <w:rsid w:val="00FD52E4"/>
    <w:rsid w:val="00FD59AE"/>
    <w:rsid w:val="00FD5DB4"/>
    <w:rsid w:val="00FD6447"/>
    <w:rsid w:val="00FD645C"/>
    <w:rsid w:val="00FD69A9"/>
    <w:rsid w:val="00FD708C"/>
    <w:rsid w:val="00FE20C8"/>
    <w:rsid w:val="00FE2114"/>
    <w:rsid w:val="00FE2AD6"/>
    <w:rsid w:val="00FE34A9"/>
    <w:rsid w:val="00FE3C3A"/>
    <w:rsid w:val="00FE3D13"/>
    <w:rsid w:val="00FE4A8E"/>
    <w:rsid w:val="00FE4CAA"/>
    <w:rsid w:val="00FE5E15"/>
    <w:rsid w:val="00FE5E6C"/>
    <w:rsid w:val="00FE63AF"/>
    <w:rsid w:val="00FE64B8"/>
    <w:rsid w:val="00FE79DE"/>
    <w:rsid w:val="00FE7A0B"/>
    <w:rsid w:val="00FE7C3C"/>
    <w:rsid w:val="00FF0B15"/>
    <w:rsid w:val="00FF104F"/>
    <w:rsid w:val="00FF1B8A"/>
    <w:rsid w:val="00FF2E0D"/>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457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EA5D07"/>
    <w:pPr>
      <w:numPr>
        <w:ilvl w:val="2"/>
      </w:numPr>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18"/>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EA5D07"/>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137A27"/>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unhideWhenUsed/>
    <w:rsid w:val="00A470CC"/>
    <w:pPr>
      <w:spacing w:after="120"/>
      <w:ind w:left="283"/>
    </w:pPr>
  </w:style>
  <w:style w:type="character" w:customStyle="1" w:styleId="RecuodecorpodetextoChar">
    <w:name w:val="Recuo de corpo de texto Char"/>
    <w:basedOn w:val="Fontepargpadro"/>
    <w:link w:val="Recuodecorpodetexto"/>
    <w:uiPriority w:val="99"/>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 w:type="paragraph" w:styleId="Sumrio2">
    <w:name w:val="toc 2"/>
    <w:basedOn w:val="Normal"/>
    <w:next w:val="Normal"/>
    <w:autoRedefine/>
    <w:uiPriority w:val="39"/>
    <w:unhideWhenUsed/>
    <w:rsid w:val="00570056"/>
    <w:pPr>
      <w:spacing w:after="100" w:line="259" w:lineRule="auto"/>
      <w:ind w:left="220"/>
      <w:jc w:val="left"/>
    </w:pPr>
    <w:rPr>
      <w:rFonts w:asciiTheme="minorHAnsi" w:eastAsiaTheme="minorEastAsia" w:hAnsiTheme="minorHAnsi" w:cstheme="minorBidi"/>
      <w:sz w:val="22"/>
      <w:szCs w:val="22"/>
      <w:lang w:eastAsia="pt-BR"/>
    </w:rPr>
  </w:style>
  <w:style w:type="paragraph" w:styleId="Sumrio3">
    <w:name w:val="toc 3"/>
    <w:basedOn w:val="Normal"/>
    <w:next w:val="Normal"/>
    <w:autoRedefine/>
    <w:uiPriority w:val="39"/>
    <w:unhideWhenUsed/>
    <w:rsid w:val="00570056"/>
    <w:pPr>
      <w:spacing w:after="100" w:line="259" w:lineRule="auto"/>
      <w:ind w:left="440"/>
      <w:jc w:val="left"/>
    </w:pPr>
    <w:rPr>
      <w:rFonts w:asciiTheme="minorHAnsi" w:eastAsiaTheme="minorEastAsia" w:hAnsiTheme="minorHAnsi" w:cstheme="minorBidi"/>
      <w:sz w:val="22"/>
      <w:szCs w:val="22"/>
      <w:lang w:eastAsia="pt-BR"/>
    </w:rPr>
  </w:style>
  <w:style w:type="paragraph" w:styleId="Sumrio4">
    <w:name w:val="toc 4"/>
    <w:basedOn w:val="Normal"/>
    <w:next w:val="Normal"/>
    <w:autoRedefine/>
    <w:uiPriority w:val="39"/>
    <w:unhideWhenUsed/>
    <w:rsid w:val="00570056"/>
    <w:pPr>
      <w:spacing w:after="100" w:line="259" w:lineRule="auto"/>
      <w:ind w:left="660"/>
      <w:jc w:val="left"/>
    </w:pPr>
    <w:rPr>
      <w:rFonts w:asciiTheme="minorHAnsi" w:eastAsiaTheme="minorEastAsia" w:hAnsiTheme="minorHAnsi" w:cstheme="minorBidi"/>
      <w:sz w:val="22"/>
      <w:szCs w:val="22"/>
      <w:lang w:eastAsia="pt-BR"/>
    </w:rPr>
  </w:style>
  <w:style w:type="paragraph" w:styleId="Sumrio5">
    <w:name w:val="toc 5"/>
    <w:basedOn w:val="Normal"/>
    <w:next w:val="Normal"/>
    <w:autoRedefine/>
    <w:uiPriority w:val="39"/>
    <w:unhideWhenUsed/>
    <w:rsid w:val="00570056"/>
    <w:pPr>
      <w:spacing w:after="100" w:line="259" w:lineRule="auto"/>
      <w:ind w:left="880"/>
      <w:jc w:val="left"/>
    </w:pPr>
    <w:rPr>
      <w:rFonts w:asciiTheme="minorHAnsi" w:eastAsiaTheme="minorEastAsia" w:hAnsiTheme="minorHAnsi" w:cstheme="minorBidi"/>
      <w:sz w:val="22"/>
      <w:szCs w:val="22"/>
      <w:lang w:eastAsia="pt-BR"/>
    </w:rPr>
  </w:style>
  <w:style w:type="paragraph" w:styleId="Sumrio6">
    <w:name w:val="toc 6"/>
    <w:basedOn w:val="Normal"/>
    <w:next w:val="Normal"/>
    <w:autoRedefine/>
    <w:uiPriority w:val="39"/>
    <w:unhideWhenUsed/>
    <w:rsid w:val="00570056"/>
    <w:pPr>
      <w:spacing w:after="100" w:line="259" w:lineRule="auto"/>
      <w:ind w:left="1100"/>
      <w:jc w:val="left"/>
    </w:pPr>
    <w:rPr>
      <w:rFonts w:asciiTheme="minorHAnsi" w:eastAsiaTheme="minorEastAsia" w:hAnsiTheme="minorHAnsi" w:cstheme="minorBidi"/>
      <w:sz w:val="22"/>
      <w:szCs w:val="22"/>
      <w:lang w:eastAsia="pt-BR"/>
    </w:rPr>
  </w:style>
  <w:style w:type="paragraph" w:styleId="Sumrio7">
    <w:name w:val="toc 7"/>
    <w:basedOn w:val="Normal"/>
    <w:next w:val="Normal"/>
    <w:autoRedefine/>
    <w:uiPriority w:val="39"/>
    <w:unhideWhenUsed/>
    <w:rsid w:val="00570056"/>
    <w:pPr>
      <w:spacing w:after="100" w:line="259" w:lineRule="auto"/>
      <w:ind w:left="1320"/>
      <w:jc w:val="left"/>
    </w:pPr>
    <w:rPr>
      <w:rFonts w:asciiTheme="minorHAnsi" w:eastAsiaTheme="minorEastAsia" w:hAnsiTheme="minorHAnsi" w:cstheme="minorBidi"/>
      <w:sz w:val="22"/>
      <w:szCs w:val="22"/>
      <w:lang w:eastAsia="pt-BR"/>
    </w:rPr>
  </w:style>
  <w:style w:type="paragraph" w:styleId="Sumrio8">
    <w:name w:val="toc 8"/>
    <w:basedOn w:val="Normal"/>
    <w:next w:val="Normal"/>
    <w:autoRedefine/>
    <w:uiPriority w:val="39"/>
    <w:unhideWhenUsed/>
    <w:rsid w:val="00570056"/>
    <w:pPr>
      <w:spacing w:after="100" w:line="259" w:lineRule="auto"/>
      <w:ind w:left="1540"/>
      <w:jc w:val="left"/>
    </w:pPr>
    <w:rPr>
      <w:rFonts w:asciiTheme="minorHAnsi" w:eastAsiaTheme="minorEastAsia" w:hAnsiTheme="minorHAnsi" w:cstheme="minorBidi"/>
      <w:sz w:val="22"/>
      <w:szCs w:val="22"/>
      <w:lang w:eastAsia="pt-BR"/>
    </w:rPr>
  </w:style>
  <w:style w:type="paragraph" w:styleId="Sumrio9">
    <w:name w:val="toc 9"/>
    <w:basedOn w:val="Normal"/>
    <w:next w:val="Normal"/>
    <w:autoRedefine/>
    <w:uiPriority w:val="39"/>
    <w:unhideWhenUsed/>
    <w:rsid w:val="00570056"/>
    <w:pPr>
      <w:spacing w:after="100" w:line="259" w:lineRule="auto"/>
      <w:ind w:left="1760"/>
      <w:jc w:val="left"/>
    </w:pPr>
    <w:rPr>
      <w:rFonts w:asciiTheme="minorHAnsi" w:eastAsiaTheme="minorEastAsia" w:hAnsiTheme="minorHAnsi" w:cstheme="minorBidi"/>
      <w:sz w:val="22"/>
      <w:szCs w:val="22"/>
      <w:lang w:eastAsia="pt-BR"/>
    </w:rPr>
  </w:style>
  <w:style w:type="character" w:styleId="Refdecomentrio">
    <w:name w:val="annotation reference"/>
    <w:basedOn w:val="Fontepargpadro"/>
    <w:uiPriority w:val="99"/>
    <w:semiHidden/>
    <w:unhideWhenUsed/>
    <w:rsid w:val="002E40AB"/>
    <w:rPr>
      <w:sz w:val="16"/>
      <w:szCs w:val="16"/>
    </w:rPr>
  </w:style>
  <w:style w:type="paragraph" w:styleId="Textodecomentrio">
    <w:name w:val="annotation text"/>
    <w:basedOn w:val="Normal"/>
    <w:link w:val="TextodecomentrioChar"/>
    <w:uiPriority w:val="99"/>
    <w:semiHidden/>
    <w:unhideWhenUsed/>
    <w:rsid w:val="002E40AB"/>
    <w:rPr>
      <w:szCs w:val="20"/>
    </w:rPr>
  </w:style>
  <w:style w:type="character" w:customStyle="1" w:styleId="TextodecomentrioChar">
    <w:name w:val="Texto de comentário Char"/>
    <w:basedOn w:val="Fontepargpadro"/>
    <w:link w:val="Textodecomentrio"/>
    <w:uiPriority w:val="99"/>
    <w:semiHidden/>
    <w:rsid w:val="002E40AB"/>
    <w:rPr>
      <w:rFonts w:ascii="Arial" w:hAnsi="Arial" w:cs="Arial"/>
      <w:sz w:val="20"/>
      <w:szCs w:val="20"/>
    </w:rPr>
  </w:style>
  <w:style w:type="paragraph" w:styleId="Assuntodocomentrio">
    <w:name w:val="annotation subject"/>
    <w:basedOn w:val="Textodecomentrio"/>
    <w:next w:val="Textodecomentrio"/>
    <w:link w:val="AssuntodocomentrioChar"/>
    <w:uiPriority w:val="99"/>
    <w:semiHidden/>
    <w:unhideWhenUsed/>
    <w:rsid w:val="002E40AB"/>
    <w:rPr>
      <w:b/>
      <w:bCs/>
    </w:rPr>
  </w:style>
  <w:style w:type="character" w:customStyle="1" w:styleId="AssuntodocomentrioChar">
    <w:name w:val="Assunto do comentário Char"/>
    <w:basedOn w:val="TextodecomentrioChar"/>
    <w:link w:val="Assuntodocomentrio"/>
    <w:uiPriority w:val="99"/>
    <w:semiHidden/>
    <w:rsid w:val="002E40AB"/>
    <w:rPr>
      <w:rFonts w:ascii="Arial" w:hAnsi="Arial" w:cs="Arial"/>
      <w:b/>
      <w:bCs/>
      <w:sz w:val="20"/>
      <w:szCs w:val="20"/>
    </w:rPr>
  </w:style>
  <w:style w:type="character" w:customStyle="1" w:styleId="highlightedsearchterm">
    <w:name w:val="highlightedsearchterm"/>
    <w:rsid w:val="00E11D84"/>
  </w:style>
  <w:style w:type="paragraph" w:customStyle="1" w:styleId="western">
    <w:name w:val="western"/>
    <w:basedOn w:val="Normal"/>
    <w:rsid w:val="00E11D84"/>
    <w:pPr>
      <w:suppressAutoHyphens/>
      <w:spacing w:before="280" w:after="119"/>
      <w:jc w:val="left"/>
    </w:pPr>
    <w:rPr>
      <w:rFonts w:ascii="Times New Roman" w:eastAsia="Times New Roman" w:hAnsi="Times New Roman" w:cs="Times New Roman"/>
      <w:sz w:val="24"/>
      <w:lang w:eastAsia="zh-CN"/>
    </w:rPr>
  </w:style>
</w:styles>
</file>

<file path=word/webSettings.xml><?xml version="1.0" encoding="utf-8"?>
<w:webSettings xmlns:r="http://schemas.openxmlformats.org/officeDocument/2006/relationships" xmlns:w="http://schemas.openxmlformats.org/wordprocessingml/2006/main">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780538589">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088622391">
      <w:bodyDiv w:val="1"/>
      <w:marLeft w:val="0"/>
      <w:marRight w:val="0"/>
      <w:marTop w:val="0"/>
      <w:marBottom w:val="0"/>
      <w:divBdr>
        <w:top w:val="none" w:sz="0" w:space="0" w:color="auto"/>
        <w:left w:val="none" w:sz="0" w:space="0" w:color="auto"/>
        <w:bottom w:val="none" w:sz="0" w:space="0" w:color="auto"/>
        <w:right w:val="none" w:sz="0" w:space="0" w:color="auto"/>
      </w:divBdr>
    </w:div>
    <w:div w:id="1124423413">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257638751">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603295654">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041783673">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Planilha_do_Microsoft_Office_Excel1.xlsx"/><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BCCAD-DDCC-40A5-9C49-9A1642B08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37</Pages>
  <Words>13242</Words>
  <Characters>71510</Characters>
  <Application>Microsoft Office Word</Application>
  <DocSecurity>0</DocSecurity>
  <Lines>595</Lines>
  <Paragraphs>169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84583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Ricardo Pereira de Lima</cp:lastModifiedBy>
  <cp:revision>4</cp:revision>
  <cp:lastPrinted>2021-10-06T14:49:00Z</cp:lastPrinted>
  <dcterms:created xsi:type="dcterms:W3CDTF">2021-10-06T19:06:00Z</dcterms:created>
  <dcterms:modified xsi:type="dcterms:W3CDTF">2021-10-14T14:02:00Z</dcterms:modified>
</cp:coreProperties>
</file>