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ESTUDO TÉCNICO PRELIMINAR DA CONTRATAÇÃO - AQUISIÇÕES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atendimento à INSTRUÇÃO NORMATIVA Nº 40, de 22 de maio de 2020, que dispõe sobre a elaboração dos Estudos Técnicos Preliminares (ETP) para a aquisição de bens e a contratação de serviços e obras, no âmbito da administração pública federal direta, autárquica e fundacional, e sobre o Sistema ETP digital.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Estudo Técnico Preliminar (ETP) é o documento que integra a primeira fase de planejamento das contratações públicas e tem o objetivo de demonstrar a real necessidade da contratação; descreve as análises realizadas em termos de requisitos, alternativas, escolhas, resultados pretendidos e demais características, dando base ao anteprojeto, ao termo de referência ou ao projeto básico.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- NECESSIDADE DA CONTRATAÇÃO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Constitui objeto deste documento 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eastAsia="Calibri" w:cs="Times New Roman"/>
          <w:sz w:val="24"/>
          <w:szCs w:val="24"/>
        </w:rPr>
        <w:t>orneciment</w:t>
      </w:r>
      <w:r>
        <w:rPr>
          <w:rFonts w:hint="default" w:ascii="Times New Roman" w:hAnsi="Times New Roman" w:eastAsia="Calibri" w:cs="Times New Roman"/>
          <w:sz w:val="24"/>
          <w:szCs w:val="24"/>
          <w:lang w:val="pt-BR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materiais de consumo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 visando atender às necessidades </w:t>
      </w:r>
      <w:r>
        <w:rPr>
          <w:rFonts w:ascii="Times New Roman" w:hAnsi="Times New Roman" w:cs="Times New Roman"/>
          <w:sz w:val="24"/>
          <w:szCs w:val="24"/>
        </w:rPr>
        <w:t>de materiais de consumo diversos, equipamentos, mobiliários, equipamentos de refrigeração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, </w:t>
      </w:r>
      <w:r>
        <w:rPr>
          <w:rFonts w:hint="default" w:ascii="Times New Roman" w:hAnsi="Times New Roman" w:cs="Times New Roman"/>
          <w:b w:val="0"/>
          <w:bCs/>
          <w:lang w:val="pt-BR"/>
        </w:rPr>
        <w:t>material automotivo</w:t>
      </w:r>
      <w:r>
        <w:rPr>
          <w:rFonts w:ascii="Times New Roman" w:hAnsi="Times New Roman" w:cs="Times New Roman"/>
          <w:sz w:val="24"/>
          <w:szCs w:val="24"/>
        </w:rPr>
        <w:t xml:space="preserve"> e materiais de segurança do trabalho</w:t>
      </w:r>
      <w:r>
        <w:rPr>
          <w:rFonts w:ascii="Times New Roman" w:hAnsi="Times New Roman" w:eastAsia="Calibri" w:cs="Times New Roman"/>
          <w:bCs/>
          <w:sz w:val="24"/>
          <w:szCs w:val="24"/>
        </w:rPr>
        <w:t>da 2ª Superintendência Regional da CODEVASF, no estado da Bahia</w:t>
      </w:r>
      <w:r>
        <w:rPr>
          <w:rFonts w:ascii="Times New Roman" w:hAnsi="Times New Roman" w:cs="Times New Roman"/>
          <w:sz w:val="24"/>
          <w:szCs w:val="24"/>
        </w:rPr>
        <w:t xml:space="preserve">. Justifica as razões de interesse público, pois é extremamente necessária a contratação dos fornecimentos dos de materiais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citados</w:t>
      </w:r>
      <w:r>
        <w:rPr>
          <w:rFonts w:ascii="Times New Roman" w:hAnsi="Times New Roman" w:cs="Times New Roman"/>
          <w:sz w:val="24"/>
          <w:szCs w:val="24"/>
        </w:rPr>
        <w:t xml:space="preserve"> visando dar condições a realização das atividades laborais dos empregados da Codevasf-2ªSR.</w:t>
      </w:r>
    </w:p>
    <w:p>
      <w:pPr>
        <w:pStyle w:val="3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– REQUISITOS DA CONTRATAÇÃO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bCs/>
          <w:sz w:val="24"/>
          <w:szCs w:val="24"/>
        </w:rPr>
        <w:t>Dos Normativos que Disciplinam a Contratação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O procedimento obedecerá, integralmente, aos seguintes normativos: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Lei nº 10.520</w:t>
      </w: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/</w:t>
      </w:r>
      <w:r>
        <w:rPr>
          <w:rFonts w:ascii="Times New Roman" w:hAnsi="Times New Roman" w:cs="Times New Roman"/>
          <w:sz w:val="24"/>
          <w:szCs w:val="24"/>
        </w:rPr>
        <w:t>2002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Lei </w:t>
      </w: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nº</w:t>
      </w:r>
      <w:r>
        <w:rPr>
          <w:rFonts w:ascii="Times New Roman" w:hAnsi="Times New Roman" w:cs="Times New Roman"/>
          <w:sz w:val="24"/>
          <w:szCs w:val="24"/>
        </w:rPr>
        <w:t xml:space="preserve"> 13.303</w:t>
      </w: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/</w:t>
      </w:r>
      <w:r>
        <w:rPr>
          <w:rFonts w:ascii="Times New Roman" w:hAnsi="Times New Roman" w:cs="Times New Roman"/>
          <w:sz w:val="24"/>
          <w:szCs w:val="24"/>
        </w:rPr>
        <w:t>2016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IN </w:t>
      </w: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nº 40/2020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Decreto nº 10.024/2019</w:t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e) Decreto nº 7.892/2013.</w:t>
      </w:r>
    </w:p>
    <w:p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A partir da aquisição dos de materiais de consumo diversos, equipamentos, mobiliários, equipamentos de refrigeração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, </w:t>
      </w:r>
      <w:r>
        <w:rPr>
          <w:rFonts w:hint="default" w:ascii="Times New Roman" w:hAnsi="Times New Roman" w:cs="Times New Roman"/>
          <w:b w:val="0"/>
          <w:bCs/>
          <w:lang w:val="pt-BR"/>
        </w:rPr>
        <w:t>material automotivo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materiais de segurança do trabalho, proporcionar condições de realização do trabalho aos empregados da 2ª Superintendência Regional da Codevasf para atender necessidade interna da empresa.</w:t>
      </w:r>
    </w:p>
    <w:p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Motivação da contratação:</w:t>
      </w:r>
    </w:p>
    <w:p>
      <w:pPr>
        <w:pStyle w:val="3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Benefícios diretos e indiretos que resultarão da contratação:</w:t>
      </w:r>
    </w:p>
    <w:p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 a aquisição dos de materiais de consumo diversos, equipamentos, mobiliários, equipamentos de refrigeração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, </w:t>
      </w:r>
      <w:r>
        <w:rPr>
          <w:rFonts w:hint="default"/>
          <w:b w:val="0"/>
          <w:bCs/>
          <w:lang w:val="pt-BR"/>
        </w:rPr>
        <w:t xml:space="preserve">material </w:t>
      </w:r>
      <w:r>
        <w:rPr>
          <w:rFonts w:hint="default" w:ascii="Times New Roman" w:hAnsi="Times New Roman" w:cs="Times New Roman"/>
          <w:b w:val="0"/>
          <w:bCs/>
          <w:lang w:val="pt-BR"/>
        </w:rPr>
        <w:t>automotivo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materiais de segurança do trabalho, a 2ªSR proporciona aos empregados meios para execução trabalho, visto que a área de abrangência da 2ªSR.</w:t>
      </w:r>
    </w:p>
    <w:p>
      <w:pPr>
        <w:pStyle w:val="3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Conexão entre a contratação e o planejamento existente:</w:t>
      </w:r>
    </w:p>
    <w:p>
      <w:pPr>
        <w:pStyle w:val="3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Fornecer ferramentas de trabalho aos empregados, buscando viabilizar o desenvolvimento de ações que promovam o desenvolvimento nos municípios que fazem parte da área de abrangência da 2ªSR.</w:t>
      </w:r>
    </w:p>
    <w:p>
      <w:pPr>
        <w:pStyle w:val="3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- LEVANTAMENTO DE MERCADO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O levantamento de mercado consiste na prospecção e análise das alternativas possíveis de contratação, para os insumos em pauta com ampla demanda no comércio nacional, houve pesquisa de mercado no Painel de Preços, utilizando-se pregões já homologados por outros órgãos públicos, bem com cotações de empresas fornecedoras dos itens a serem licitados.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 - DESCRIÇÃO DA SOLUÇÃO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Consiste na contratação de empresa visando o fornecimento de materiais de consumo, acervo de bens e materiais de segurança do trabalho para atender as necessidades da 2ª Superintendência Regional da Codevasf no estado da Bahia.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- ESTIMATIVA DAS QUANTIDADES A SEREM CONTRATADAS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As estimativas das quantidades a serem contratadas vêm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histórico</w:t>
      </w:r>
      <w:r>
        <w:rPr>
          <w:rFonts w:ascii="Times New Roman" w:hAnsi="Times New Roman" w:cs="Times New Roman"/>
          <w:bCs/>
          <w:sz w:val="24"/>
          <w:szCs w:val="24"/>
        </w:rPr>
        <w:t>de consumo, acervo de bens e materiais de segurança do trabalho</w:t>
      </w:r>
      <w:r>
        <w:rPr>
          <w:rFonts w:ascii="Times New Roman" w:hAnsi="Times New Roman" w:cs="Times New Roman"/>
          <w:sz w:val="24"/>
          <w:szCs w:val="24"/>
        </w:rPr>
        <w:t xml:space="preserve"> já licitados, aquisições em anos anteriores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conforme mostrado na planilha no item I.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anexo II do Termo de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Referência consta a planilha com o quantitativo, valores das cotações e opreço médio de cada item a ser licitado.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 - </w:t>
      </w:r>
      <w:r>
        <w:rPr>
          <w:rFonts w:ascii="Times New Roman" w:hAnsi="Times New Roman" w:cs="Times New Roman"/>
          <w:b/>
          <w:bCs/>
          <w:sz w:val="24"/>
          <w:szCs w:val="24"/>
        </w:rPr>
        <w:t>DEFINIÇÃO DO MÉTODO PARA ESTIMATIVAS DE PREÇOS OU DOS MEIOS DE PREVISÃO DE PREÇOS REFERENCIAIS.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A estimativa de preços foi realizada em conformidade com a Instrução Normativa nº 73, de 05 de agosto de 2020, dispõe sobre os procedimentos administrativos básicos para a realização de pesquisa de preços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 aquisição de bens e contratação de serviços em geral, no âmbito da administração pública federal direta, autárquica e fundacional.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 Assim, a pesquisa de preços deve ser realizada mediante os seguintes parâmetros, empregados de forma combinada ou não: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 Painel de Preços, disponível no endereço eletrônico: gov.br/paineldeprecos, desde que as cotações refiram-se a aquisições ou contratações firmadas no período de até 1 (um) ano anterior à data de divulgação do instrumento convocatório;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–Aquisições e contratações similares de outros entes públicos, firmadas no período de até 1 (um) ano anterior à data de divulgação do instrumento convocatório;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–Dados de pesquisa publicada em mídia especializada, de sítios eletrônicos especializados ou de domínio amplo, desde que atualizados no momento da pesquisa e compreendidos no intervalo de até 6 (seis) meses de antecedência da data de divulgação do instrumento convocatório, contendo a data e hora de acesso; ou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 - Pesquisa direta com os fornecedores, mediante solicitação formal de cotação, desde que os orçamentos considerados estejam compreendidos no intervalo de até 6 (seis) meses de antecedência da data de divulgação do instrumento convocatório.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Assim, para fins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estimativa do preço de referência, buscou-se utilizar o Painel de Preços e pesquisa de preços, obtendo-se os resultados no anexo II do Termo de Referência.</w:t>
      </w:r>
    </w:p>
    <w:p>
      <w:pPr>
        <w:autoSpaceDE w:val="0"/>
        <w:autoSpaceDN w:val="0"/>
        <w:adjustRightInd w:val="0"/>
        <w:spacing w:after="0" w:line="240" w:lineRule="auto"/>
        <w:ind w:left="-426" w:right="-567" w:firstLine="426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Diante do exposto, o valor referencial para a contratação é de</w:t>
      </w:r>
      <w:bookmarkStart w:id="0" w:name="_GoBack"/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R$ 7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68.637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,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27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( setecentos e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sessenta e oito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mil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seiscentos e trinta e sete reais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e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>vinte e sete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centavos)</w:t>
      </w:r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constituindo o valor máximo para contratação.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Ressalte necessidade de acréscimo em atendimento ao dispositivo de cotas e</w:t>
      </w:r>
      <w:r>
        <w:rPr>
          <w:rFonts w:ascii="Times New Roman" w:hAnsi="Times New Roman" w:cs="Times New Roman"/>
          <w:bCs/>
          <w:sz w:val="24"/>
          <w:szCs w:val="24"/>
        </w:rPr>
        <w:t>xclusivas para ME e EPP.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preços unitários referenciais utilizados são conseqüência de ampla pesquisa nos pregões já homologados por outros órgãos públicos e cotação junto a empresas que fornecem os itens objetos dessa licitação, conforme demonstrado na planilha acima.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 - JUSTIFICATIVAS PARA O PARCELAMENTO OU NÃO DA SOLUÇÃO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Em regra, conforme § 1º do artigo 8 do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Decreto nº 7.892/2013, o órgão gerenciador poderá dividir a quantidade total do item em lote, quando técnica e economicamente viável, para possibilitar maior competitividade, observada a quantidade mínima, o prazo e o local de entrega ou de prestação dos serviços.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A contratação em tela vislumbra fornecimento de materiais de consumo diversos, equipamentos, mobiliários, equipamentos de refrigeração e materiais de segurança do trabalho, viabilizando assim, emissão de várias OF, para entrega em diversos municípios. Entretanto, optou-se pelo não parcelamento do objeto.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 - CONTRATAÇÕES CORRELATAS E/OU INTERDEPENDENTES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Não aplicável.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Não se verifica contratações correlatas nem interdependentes para a viabilidade desta demanda.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IX - DEMONSTRAÇÃO DO ALINHAMENTO ENTRE A CONTRATAÇÃO E O PLANEJAMENTO </w:t>
      </w:r>
    </w:p>
    <w:p>
      <w:pPr>
        <w:pStyle w:val="18"/>
        <w:jc w:val="both"/>
        <w:rPr>
          <w:color w:val="auto"/>
        </w:rPr>
      </w:pPr>
      <w:r>
        <w:t xml:space="preserve">9.1. A demonstração do alinhamento entre a contratação e o planejamento é viável pela especificidade de atuação da </w:t>
      </w:r>
      <w:r>
        <w:rPr>
          <w:b/>
        </w:rPr>
        <w:t>CODEVASF</w:t>
      </w:r>
      <w:r>
        <w:t>,</w:t>
      </w:r>
      <w:r>
        <w:rPr>
          <w:rFonts w:hint="default"/>
          <w:lang w:val="pt-BR"/>
        </w:rPr>
        <w:t xml:space="preserve"> </w:t>
      </w:r>
      <w:r>
        <w:t xml:space="preserve">empresa </w:t>
      </w:r>
      <w:r>
        <w:rPr>
          <w:color w:val="auto"/>
        </w:rPr>
        <w:t>pública federal, criada pela Lei nº 6.088/74, entidade integrante da Administração Pública Indireta (Decreto-lei n°200/67, art. 4°, I "b"), inscrita no CNPJ sob o n° 00.399.857/0001-26; que tem na área de abrangência 215 municípios, o que exige da empresa</w:t>
      </w:r>
      <w:r>
        <w:rPr>
          <w:rFonts w:hint="default"/>
          <w:color w:val="auto"/>
          <w:lang w:val="pt-BR"/>
        </w:rPr>
        <w:t xml:space="preserve"> materiais para o desenvolvimento de duas atividades administrativas e, assim, de suprote à atividade fim de </w:t>
      </w:r>
      <w:r>
        <w:rPr>
          <w:color w:val="auto"/>
        </w:rPr>
        <w:t xml:space="preserve"> execução das políticas públicas de desenvolvimento regional.</w:t>
      </w:r>
    </w:p>
    <w:p>
      <w:pPr>
        <w:pStyle w:val="18"/>
        <w:jc w:val="both"/>
        <w:rPr>
          <w:b/>
        </w:rPr>
      </w:pPr>
    </w:p>
    <w:p>
      <w:pPr>
        <w:pStyle w:val="18"/>
        <w:jc w:val="both"/>
        <w:rPr>
          <w:b/>
        </w:rPr>
      </w:pPr>
      <w:r>
        <w:rPr>
          <w:b/>
        </w:rPr>
        <w:t>X - RESULTADOS PRETENDIDOS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Os resultados pretendidos a efetiva continuidade das atividades laborais da Codevasf-2ªSR,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</w:rPr>
        <w:t>XI - PROVIDÊNCIAS ADOTADAS PREVIAMENTE À CELEBRAÇÃO DO CONTRATO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Dentre as providências a serem adotadas pela administração previamente à celebração do contrato, consta a indicação em TR dos fiscais que acompanharão todos os trâmites ao cumprimento das Ordens de fornecimento – OF.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processo administrativo pertinente à contratação de fornecimento constam todos os documentos cabíveis e necessários emitidos para o fiel cumprimento do objeto proposto, instrumento que irá nortear as ações competentes da fiscalização nomeada para tal.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XII - IMPACTOS AMBIENTAIS E RESPECTIVAS MEDIDAS DE TRATAMENTO</w:t>
      </w:r>
    </w:p>
    <w:p>
      <w:pPr>
        <w:pStyle w:val="4"/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A empresa que se candidatar ao processo licitatório deverá observar os seguintes critérios de sustentabilidade ambiental, no que couber, conforme a instrução normativa SLTI/MP nº 01/2010:</w:t>
      </w:r>
    </w:p>
    <w:p>
      <w:pPr>
        <w:pStyle w:val="4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Que os bens sejam constituídos, no todo ou em parte, por material reciclado, atóxico, biodegradável, conforme ABNT NBR – 15448-1 e 15448-2;</w:t>
      </w:r>
    </w:p>
    <w:p>
      <w:pPr>
        <w:pStyle w:val="4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>
      <w:pPr>
        <w:pStyle w:val="4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mais, em que for cabível.</w:t>
      </w:r>
    </w:p>
    <w:p>
      <w:pPr>
        <w:pStyle w:val="7"/>
        <w:spacing w:before="0" w:beforeAutospacing="0" w:after="0" w:afterAutospacing="0"/>
        <w:rPr>
          <w:b/>
        </w:rPr>
      </w:pPr>
      <w:r>
        <w:rPr>
          <w:b/>
        </w:rPr>
        <w:t>XIII - SOBRE A VIABILIDADE E RAZOABILIDADE DA CONTRATAÇÃO</w:t>
      </w:r>
    </w:p>
    <w:p>
      <w:pPr>
        <w:pStyle w:val="7"/>
        <w:spacing w:before="0" w:beforeAutospacing="0" w:after="0" w:afterAutospacing="0"/>
        <w:jc w:val="both"/>
      </w:pPr>
      <w:r>
        <w:t>13.1. O posicionamento conclusivo sobre a viabilidade e razoabilidade desta contratação, se constata uma vez que os insumos a serem adquiridos estão disponíveis no mercado nacional,admitindo amplas possibilidades de concorrência entre fornecedores.</w:t>
      </w:r>
    </w:p>
    <w:p>
      <w:pPr>
        <w:pStyle w:val="7"/>
        <w:spacing w:before="0" w:beforeAutospacing="0" w:after="0" w:afterAutospacing="0"/>
        <w:jc w:val="both"/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Diante do exposto, declara-se ser viável a contratação pretendida.</w:t>
      </w:r>
    </w:p>
    <w:p>
      <w:pPr>
        <w:pStyle w:val="7"/>
        <w:spacing w:before="0" w:beforeAutospacing="0" w:after="0" w:afterAutospacing="0"/>
        <w:jc w:val="both"/>
      </w:pPr>
      <w:r>
        <w:br w:type="textWrapping"/>
      </w:r>
      <w:r>
        <w:rPr>
          <w:b/>
        </w:rPr>
        <w:t>XIV - CLASSIFICAÇÃO NOS TERMOS DA LEI Nº 12.527</w:t>
      </w:r>
      <w:r>
        <w:t>, de 18 de Novembro de 2011.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14.1. Não aplicável.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XV - </w:t>
      </w:r>
      <w:r>
        <w:rPr>
          <w:rFonts w:ascii="Times New Roman" w:hAnsi="Times New Roman" w:cs="Times New Roman"/>
          <w:b/>
          <w:bCs/>
          <w:sz w:val="24"/>
          <w:szCs w:val="24"/>
        </w:rPr>
        <w:t>DO MAPA DE RISCOS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 mapa de risco dessa contratação foi juntado ao presente processo de licitação como peça individual.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XVI - </w:t>
      </w:r>
      <w:r>
        <w:rPr>
          <w:rFonts w:ascii="Times New Roman" w:hAnsi="Times New Roman" w:cs="Times New Roman"/>
          <w:b/>
          <w:bCs/>
          <w:sz w:val="24"/>
          <w:szCs w:val="24"/>
        </w:rPr>
        <w:t>RISCOS DA GESTÃO CONTRATUAL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16.1. Risco Probabilidade: </w:t>
      </w:r>
      <w:r>
        <w:rPr>
          <w:rFonts w:ascii="Times New Roman" w:hAnsi="Times New Roman" w:cs="Times New Roman"/>
          <w:sz w:val="24"/>
          <w:szCs w:val="24"/>
        </w:rPr>
        <w:t>Descumprimento de cláusulas contratuais pela CONTRATADA - Média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16.1.1. Danos Potenciais:</w:t>
      </w:r>
      <w:r>
        <w:rPr>
          <w:rFonts w:ascii="Times New Roman" w:hAnsi="Times New Roman" w:cs="Times New Roman"/>
          <w:sz w:val="24"/>
          <w:szCs w:val="24"/>
        </w:rPr>
        <w:t>Desperdício de recurso público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16.1.2. </w:t>
      </w:r>
      <w:r>
        <w:rPr>
          <w:rFonts w:ascii="Times New Roman" w:hAnsi="Times New Roman" w:cs="Times New Roman"/>
          <w:bCs/>
          <w:sz w:val="24"/>
          <w:szCs w:val="24"/>
        </w:rPr>
        <w:t>Ação Preventiva Responsável:</w:t>
      </w:r>
      <w:r>
        <w:rPr>
          <w:rFonts w:ascii="Times New Roman" w:hAnsi="Times New Roman" w:cs="Times New Roman"/>
          <w:sz w:val="24"/>
          <w:szCs w:val="24"/>
        </w:rPr>
        <w:t>Limitação de fornecimento de continuidade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16.1.3. Ação de Contingência Responsável:</w:t>
      </w:r>
      <w:r>
        <w:rPr>
          <w:rFonts w:ascii="Times New Roman" w:hAnsi="Times New Roman" w:cs="Times New Roman"/>
          <w:sz w:val="24"/>
          <w:szCs w:val="24"/>
        </w:rPr>
        <w:t xml:space="preserve"> Acompanhamento e verificação de qualidade dos bens fornecidos. - Fiscais de contrato, Aplicação de sanções previstas no contrato.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16.2. Atrasos do início da execução contratual – Média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16.2.1. Atrasos para início da execução do objeto da licitação: Acompanhar o prazo para início da entrega dos bens através do cronograma com datas previamente definidas no edital/contrato. Fiscais de contrato aplicar as sanções administrativas previstas no edital/contrato.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16.3.Solução não atende à demanda do Contrato: Fornecimento incompatível com a estrutura, apresente baixa qualidade ou que tenha custo de manutenção muito superior àquele praticado no mercado. - Média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16.3.1. A solução não atender as necessidades do Contrato: Fiscais de contrato - Garantir que o produto entregue seja de acordo com as especificações técnicas – Realizar diligência e inspeção técnicas.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7"/>
        <w:spacing w:before="0" w:beforeAutospacing="0" w:after="0" w:afterAutospacing="0"/>
        <w:jc w:val="both"/>
      </w:pPr>
      <w:r>
        <w:rPr>
          <w:b/>
        </w:rPr>
        <w:t>XVII</w:t>
      </w:r>
      <w:r>
        <w:t xml:space="preserve"> - </w:t>
      </w:r>
      <w:r>
        <w:rPr>
          <w:rStyle w:val="12"/>
        </w:rPr>
        <w:t>EXCEÇÕES À ELABORAÇÃO DOS ETP</w:t>
      </w:r>
    </w:p>
    <w:p>
      <w:pPr>
        <w:pStyle w:val="7"/>
        <w:spacing w:before="0" w:beforeAutospacing="0" w:after="0" w:afterAutospacing="0" w:line="276" w:lineRule="auto"/>
      </w:pPr>
      <w:r>
        <w:t>17.1. Verificado atendimento ao artigo 8º da elaboração dos ETP, nas hipóteses dos incisos I, II, III, IV, VI e XV do art. 29 da Lei nº 13.303/2016.Não aplicável.</w:t>
      </w:r>
    </w:p>
    <w:p>
      <w:pPr>
        <w:pStyle w:val="7"/>
        <w:spacing w:before="0" w:beforeAutospacing="0" w:after="0" w:afterAutospacing="0"/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ind w:left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Bom Jesus da Lapa, </w:t>
      </w:r>
      <w:r>
        <w:rPr>
          <w:rFonts w:hint="default"/>
          <w:b/>
          <w:bCs/>
          <w:i/>
          <w:iCs/>
          <w:lang w:val="pt-BR"/>
        </w:rPr>
        <w:t>05</w:t>
      </w:r>
      <w:r>
        <w:rPr>
          <w:b/>
          <w:bCs/>
          <w:i/>
          <w:iCs/>
        </w:rPr>
        <w:t xml:space="preserve"> de </w:t>
      </w:r>
      <w:r>
        <w:rPr>
          <w:rFonts w:hint="default"/>
          <w:b/>
          <w:bCs/>
          <w:i/>
          <w:iCs/>
          <w:lang w:val="pt-BR"/>
        </w:rPr>
        <w:t xml:space="preserve">novembro </w:t>
      </w:r>
      <w:r>
        <w:rPr>
          <w:b/>
          <w:bCs/>
          <w:i/>
          <w:iCs/>
        </w:rPr>
        <w:t xml:space="preserve"> de 2021.</w:t>
      </w:r>
    </w:p>
    <w:p>
      <w:pPr>
        <w:spacing w:after="0"/>
        <w:ind w:left="720"/>
        <w:jc w:val="center"/>
        <w:rPr>
          <w:b/>
          <w:sz w:val="24"/>
          <w:szCs w:val="24"/>
        </w:rPr>
      </w:pPr>
    </w:p>
    <w:p>
      <w:pPr>
        <w:spacing w:after="0"/>
        <w:ind w:left="720"/>
        <w:jc w:val="center"/>
        <w:rPr>
          <w:b/>
          <w:sz w:val="24"/>
          <w:szCs w:val="24"/>
        </w:rPr>
      </w:pPr>
    </w:p>
    <w:p>
      <w:pPr>
        <w:spacing w:after="0"/>
        <w:ind w:left="720"/>
        <w:jc w:val="center"/>
        <w:rPr>
          <w:b/>
          <w:sz w:val="24"/>
          <w:szCs w:val="24"/>
        </w:rPr>
      </w:pPr>
    </w:p>
    <w:p>
      <w:pPr>
        <w:spacing w:after="0"/>
        <w:ind w:left="720"/>
        <w:jc w:val="center"/>
        <w:rPr>
          <w:b/>
        </w:rPr>
      </w:pPr>
      <w:r>
        <w:rPr>
          <w:b/>
          <w:sz w:val="24"/>
          <w:szCs w:val="24"/>
        </w:rPr>
        <w:t>Hélio de Souza Carvalho</w:t>
      </w:r>
      <w:r>
        <w:rPr>
          <w:b/>
        </w:rPr>
        <w:t xml:space="preserve">                    </w:t>
      </w:r>
    </w:p>
    <w:p>
      <w:pPr>
        <w:spacing w:after="0"/>
        <w:ind w:left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Chefe 2ªGRA/USA                                      </w:t>
      </w:r>
    </w:p>
    <w:p>
      <w:pPr>
        <w:spacing w:after="0"/>
        <w:ind w:left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Decisão 1589/2019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sectPr>
      <w:headerReference r:id="rId3" w:type="default"/>
      <w:pgSz w:w="11906" w:h="16838"/>
      <w:pgMar w:top="313" w:right="1133" w:bottom="1276" w:left="1134" w:header="0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3"/>
      <w:tblW w:w="10206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916"/>
      <w:gridCol w:w="7290"/>
    </w:tblGrid>
    <w:tr>
      <w:tblPrEx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705" w:hRule="atLeast"/>
        <w:jc w:val="center"/>
      </w:trPr>
      <w:tc>
        <w:tcPr>
          <w:tcW w:w="2916" w:type="dxa"/>
          <w:vAlign w:val="center"/>
        </w:tcPr>
        <w:p>
          <w:pPr>
            <w:pStyle w:val="8"/>
            <w:rPr>
              <w:rFonts w:cs="Arial"/>
              <w:sz w:val="20"/>
            </w:rPr>
          </w:pPr>
          <w:r>
            <w:rPr>
              <w:rFonts w:cs="Arial"/>
              <w:sz w:val="20"/>
              <w:lang w:eastAsia="pt-BR"/>
            </w:rPr>
            <w:drawing>
              <wp:inline distT="0" distB="0" distL="0" distR="0">
                <wp:extent cx="1695450" cy="504825"/>
                <wp:effectExtent l="19050" t="0" r="0" b="0"/>
                <wp:docPr id="8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0" w:type="dxa"/>
          <w:vAlign w:val="center"/>
        </w:tcPr>
        <w:p>
          <w:pPr>
            <w:pStyle w:val="8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Ministério do Desenvolvimento Regional</w:t>
          </w:r>
        </w:p>
        <w:p>
          <w:pPr>
            <w:pStyle w:val="8"/>
            <w:rPr>
              <w:rFonts w:cs="Arial"/>
              <w:b/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</w:rPr>
            <w:t>Companhia de Desenvolvimento dos Vales do São Francisco e do Parnaíba</w:t>
          </w:r>
        </w:p>
        <w:p>
          <w:pPr>
            <w:pStyle w:val="8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2ª Superintendência Regional</w:t>
          </w:r>
        </w:p>
        <w:p>
          <w:pPr>
            <w:pStyle w:val="8"/>
            <w:rPr>
              <w:rFonts w:cs="Arial"/>
              <w:b/>
              <w:bCs/>
              <w:sz w:val="20"/>
            </w:rPr>
          </w:pPr>
          <w:r>
            <w:rPr>
              <w:rFonts w:cs="Arial"/>
              <w:b/>
              <w:bCs/>
              <w:sz w:val="20"/>
            </w:rPr>
            <w:t>Gerência de Administração e Suporte Logístico-2ªGRA</w:t>
          </w:r>
        </w:p>
      </w:tc>
    </w:tr>
  </w:tbl>
  <w:p>
    <w:pPr>
      <w:pStyle w:val="8"/>
      <w:tabs>
        <w:tab w:val="left" w:pos="1290"/>
        <w:tab w:val="clear" w:pos="4252"/>
        <w:tab w:val="clear" w:pos="850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3CDE"/>
    <w:multiLevelType w:val="multilevel"/>
    <w:tmpl w:val="10D43CDE"/>
    <w:lvl w:ilvl="0" w:tentative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21A69D5"/>
    <w:multiLevelType w:val="multilevel"/>
    <w:tmpl w:val="221A69D5"/>
    <w:lvl w:ilvl="0" w:tentative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 w:tentative="0">
      <w:start w:val="1"/>
      <w:numFmt w:val="decimal"/>
      <w:pStyle w:val="5"/>
      <w:lvlText w:val="%1.%2.%3."/>
      <w:lvlJc w:val="left"/>
      <w:pPr>
        <w:ind w:left="9719" w:hanging="504"/>
      </w:pPr>
      <w:rPr>
        <w:rFonts w:hint="default"/>
        <w:color w:val="000000"/>
      </w:rPr>
    </w:lvl>
    <w:lvl w:ilvl="3" w:tentative="0">
      <w:start w:val="1"/>
      <w:numFmt w:val="decimal"/>
      <w:pStyle w:val="6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1C2144"/>
    <w:multiLevelType w:val="multilevel"/>
    <w:tmpl w:val="321C21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7C31ADB"/>
    <w:multiLevelType w:val="multilevel"/>
    <w:tmpl w:val="57C31ADB"/>
    <w:lvl w:ilvl="0" w:tentative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B7E3B5B"/>
    <w:multiLevelType w:val="multilevel"/>
    <w:tmpl w:val="5B7E3B5B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/>
        <w:b w:val="0"/>
        <w:i w:val="0"/>
        <w:sz w:val="23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BA"/>
    <w:rsid w:val="00011E47"/>
    <w:rsid w:val="00015F7D"/>
    <w:rsid w:val="00025A79"/>
    <w:rsid w:val="00026360"/>
    <w:rsid w:val="00026545"/>
    <w:rsid w:val="00034004"/>
    <w:rsid w:val="00034BF6"/>
    <w:rsid w:val="00041CA0"/>
    <w:rsid w:val="00047C2C"/>
    <w:rsid w:val="000523D4"/>
    <w:rsid w:val="000533F9"/>
    <w:rsid w:val="00057103"/>
    <w:rsid w:val="0007468A"/>
    <w:rsid w:val="00081B4B"/>
    <w:rsid w:val="00083A27"/>
    <w:rsid w:val="00092688"/>
    <w:rsid w:val="00093160"/>
    <w:rsid w:val="00093EE2"/>
    <w:rsid w:val="000A7C9F"/>
    <w:rsid w:val="000D46FE"/>
    <w:rsid w:val="000E3746"/>
    <w:rsid w:val="000E5C2E"/>
    <w:rsid w:val="00102047"/>
    <w:rsid w:val="00114EF1"/>
    <w:rsid w:val="00125229"/>
    <w:rsid w:val="00143200"/>
    <w:rsid w:val="0014708C"/>
    <w:rsid w:val="00152600"/>
    <w:rsid w:val="00153AF8"/>
    <w:rsid w:val="00154C31"/>
    <w:rsid w:val="001557D3"/>
    <w:rsid w:val="00171B50"/>
    <w:rsid w:val="001753B5"/>
    <w:rsid w:val="0017618D"/>
    <w:rsid w:val="00182225"/>
    <w:rsid w:val="00184A4F"/>
    <w:rsid w:val="0018774F"/>
    <w:rsid w:val="001B1687"/>
    <w:rsid w:val="001B62CE"/>
    <w:rsid w:val="001C53E1"/>
    <w:rsid w:val="001C72E0"/>
    <w:rsid w:val="001D0299"/>
    <w:rsid w:val="001D7316"/>
    <w:rsid w:val="001E3542"/>
    <w:rsid w:val="001F16E6"/>
    <w:rsid w:val="001F6F99"/>
    <w:rsid w:val="002000D4"/>
    <w:rsid w:val="002060AE"/>
    <w:rsid w:val="00207439"/>
    <w:rsid w:val="00210A4A"/>
    <w:rsid w:val="00217718"/>
    <w:rsid w:val="002241CE"/>
    <w:rsid w:val="0023375A"/>
    <w:rsid w:val="002514CB"/>
    <w:rsid w:val="00252776"/>
    <w:rsid w:val="00255E6F"/>
    <w:rsid w:val="002626CA"/>
    <w:rsid w:val="00271278"/>
    <w:rsid w:val="002806C3"/>
    <w:rsid w:val="00282A0F"/>
    <w:rsid w:val="00284072"/>
    <w:rsid w:val="00294B14"/>
    <w:rsid w:val="002A3699"/>
    <w:rsid w:val="002B5683"/>
    <w:rsid w:val="002D66F9"/>
    <w:rsid w:val="002E1CC3"/>
    <w:rsid w:val="00304EC8"/>
    <w:rsid w:val="003120C7"/>
    <w:rsid w:val="00321B8A"/>
    <w:rsid w:val="00330C58"/>
    <w:rsid w:val="00334242"/>
    <w:rsid w:val="0033475A"/>
    <w:rsid w:val="00346B9D"/>
    <w:rsid w:val="00353FA5"/>
    <w:rsid w:val="00363EB6"/>
    <w:rsid w:val="00375C1B"/>
    <w:rsid w:val="0038235D"/>
    <w:rsid w:val="0039666E"/>
    <w:rsid w:val="00397E14"/>
    <w:rsid w:val="003A14A4"/>
    <w:rsid w:val="003A7C7E"/>
    <w:rsid w:val="003B6818"/>
    <w:rsid w:val="003B7097"/>
    <w:rsid w:val="003B764F"/>
    <w:rsid w:val="003D4B1A"/>
    <w:rsid w:val="003D4BD8"/>
    <w:rsid w:val="003D586C"/>
    <w:rsid w:val="003D6D2E"/>
    <w:rsid w:val="00402044"/>
    <w:rsid w:val="0041206B"/>
    <w:rsid w:val="004168FC"/>
    <w:rsid w:val="00422DDF"/>
    <w:rsid w:val="00423021"/>
    <w:rsid w:val="00423466"/>
    <w:rsid w:val="00423FF8"/>
    <w:rsid w:val="0043084B"/>
    <w:rsid w:val="00440679"/>
    <w:rsid w:val="00446831"/>
    <w:rsid w:val="00451E9A"/>
    <w:rsid w:val="004600EA"/>
    <w:rsid w:val="00470B05"/>
    <w:rsid w:val="00474164"/>
    <w:rsid w:val="00477050"/>
    <w:rsid w:val="004827DD"/>
    <w:rsid w:val="004847DB"/>
    <w:rsid w:val="004865F4"/>
    <w:rsid w:val="00486E1C"/>
    <w:rsid w:val="00487961"/>
    <w:rsid w:val="004941D6"/>
    <w:rsid w:val="004A114E"/>
    <w:rsid w:val="004B296C"/>
    <w:rsid w:val="004E020D"/>
    <w:rsid w:val="00517CFA"/>
    <w:rsid w:val="00524828"/>
    <w:rsid w:val="005278A6"/>
    <w:rsid w:val="005311AC"/>
    <w:rsid w:val="005613C2"/>
    <w:rsid w:val="005672D6"/>
    <w:rsid w:val="00567E61"/>
    <w:rsid w:val="00594278"/>
    <w:rsid w:val="00594F25"/>
    <w:rsid w:val="00596FF4"/>
    <w:rsid w:val="005B2C3D"/>
    <w:rsid w:val="005C03F1"/>
    <w:rsid w:val="005C24BB"/>
    <w:rsid w:val="005C33FA"/>
    <w:rsid w:val="005C477C"/>
    <w:rsid w:val="005D2273"/>
    <w:rsid w:val="005E3002"/>
    <w:rsid w:val="005F64DC"/>
    <w:rsid w:val="005F7B70"/>
    <w:rsid w:val="0060110B"/>
    <w:rsid w:val="0062197B"/>
    <w:rsid w:val="00621C77"/>
    <w:rsid w:val="00634A5E"/>
    <w:rsid w:val="00644F0D"/>
    <w:rsid w:val="00662568"/>
    <w:rsid w:val="00662652"/>
    <w:rsid w:val="00662E29"/>
    <w:rsid w:val="00664666"/>
    <w:rsid w:val="006658BA"/>
    <w:rsid w:val="0067527C"/>
    <w:rsid w:val="006828C4"/>
    <w:rsid w:val="006868EE"/>
    <w:rsid w:val="00686DE3"/>
    <w:rsid w:val="006915D4"/>
    <w:rsid w:val="006947AC"/>
    <w:rsid w:val="0069698B"/>
    <w:rsid w:val="006B022C"/>
    <w:rsid w:val="006B34D1"/>
    <w:rsid w:val="006B5086"/>
    <w:rsid w:val="006C5E6A"/>
    <w:rsid w:val="006D1645"/>
    <w:rsid w:val="006E01E0"/>
    <w:rsid w:val="006F2C32"/>
    <w:rsid w:val="006F3106"/>
    <w:rsid w:val="00707181"/>
    <w:rsid w:val="00711881"/>
    <w:rsid w:val="00712126"/>
    <w:rsid w:val="00712718"/>
    <w:rsid w:val="00713E16"/>
    <w:rsid w:val="00720E17"/>
    <w:rsid w:val="0072152C"/>
    <w:rsid w:val="00734545"/>
    <w:rsid w:val="007733CC"/>
    <w:rsid w:val="00776E24"/>
    <w:rsid w:val="007805CD"/>
    <w:rsid w:val="0078137F"/>
    <w:rsid w:val="00797986"/>
    <w:rsid w:val="00797DDE"/>
    <w:rsid w:val="007B32BA"/>
    <w:rsid w:val="007B35FE"/>
    <w:rsid w:val="007D0CD7"/>
    <w:rsid w:val="007D6396"/>
    <w:rsid w:val="007F0F46"/>
    <w:rsid w:val="0080014C"/>
    <w:rsid w:val="0083145D"/>
    <w:rsid w:val="00831FD2"/>
    <w:rsid w:val="00835F6F"/>
    <w:rsid w:val="0083761D"/>
    <w:rsid w:val="00846546"/>
    <w:rsid w:val="00846BD3"/>
    <w:rsid w:val="008535FF"/>
    <w:rsid w:val="00860781"/>
    <w:rsid w:val="00873200"/>
    <w:rsid w:val="0089206A"/>
    <w:rsid w:val="008951A4"/>
    <w:rsid w:val="00895403"/>
    <w:rsid w:val="008C0CC9"/>
    <w:rsid w:val="008D0D7E"/>
    <w:rsid w:val="008D28A6"/>
    <w:rsid w:val="008D76FD"/>
    <w:rsid w:val="008F7742"/>
    <w:rsid w:val="009004FF"/>
    <w:rsid w:val="0091093E"/>
    <w:rsid w:val="0091507E"/>
    <w:rsid w:val="00917821"/>
    <w:rsid w:val="00921A42"/>
    <w:rsid w:val="00926150"/>
    <w:rsid w:val="0093145B"/>
    <w:rsid w:val="00933046"/>
    <w:rsid w:val="00944DE2"/>
    <w:rsid w:val="00952992"/>
    <w:rsid w:val="00955FF5"/>
    <w:rsid w:val="00965A45"/>
    <w:rsid w:val="009675AD"/>
    <w:rsid w:val="00973385"/>
    <w:rsid w:val="009747C7"/>
    <w:rsid w:val="00981962"/>
    <w:rsid w:val="00987DED"/>
    <w:rsid w:val="009B02B9"/>
    <w:rsid w:val="009C7249"/>
    <w:rsid w:val="009D0FAE"/>
    <w:rsid w:val="009E1424"/>
    <w:rsid w:val="009E6C29"/>
    <w:rsid w:val="009E7BF8"/>
    <w:rsid w:val="00A022B4"/>
    <w:rsid w:val="00A02606"/>
    <w:rsid w:val="00A12F5E"/>
    <w:rsid w:val="00A21851"/>
    <w:rsid w:val="00A23D19"/>
    <w:rsid w:val="00A349B0"/>
    <w:rsid w:val="00A35CD4"/>
    <w:rsid w:val="00A4744C"/>
    <w:rsid w:val="00A532CD"/>
    <w:rsid w:val="00A5555E"/>
    <w:rsid w:val="00A55BAD"/>
    <w:rsid w:val="00A61652"/>
    <w:rsid w:val="00A61D65"/>
    <w:rsid w:val="00A87567"/>
    <w:rsid w:val="00A87570"/>
    <w:rsid w:val="00A91EF4"/>
    <w:rsid w:val="00A91F28"/>
    <w:rsid w:val="00A95CB7"/>
    <w:rsid w:val="00A963CC"/>
    <w:rsid w:val="00AA4EF0"/>
    <w:rsid w:val="00AA7CF0"/>
    <w:rsid w:val="00AB4225"/>
    <w:rsid w:val="00AC6DB6"/>
    <w:rsid w:val="00AD5FF1"/>
    <w:rsid w:val="00AD70EE"/>
    <w:rsid w:val="00AD73C0"/>
    <w:rsid w:val="00AF15C5"/>
    <w:rsid w:val="00AF292E"/>
    <w:rsid w:val="00B02673"/>
    <w:rsid w:val="00B02C88"/>
    <w:rsid w:val="00B104E4"/>
    <w:rsid w:val="00B1642D"/>
    <w:rsid w:val="00B248A5"/>
    <w:rsid w:val="00B26C50"/>
    <w:rsid w:val="00B51057"/>
    <w:rsid w:val="00B51405"/>
    <w:rsid w:val="00B51779"/>
    <w:rsid w:val="00B53CA1"/>
    <w:rsid w:val="00B6098D"/>
    <w:rsid w:val="00B632DE"/>
    <w:rsid w:val="00B63AEB"/>
    <w:rsid w:val="00B814E7"/>
    <w:rsid w:val="00B845BC"/>
    <w:rsid w:val="00B92170"/>
    <w:rsid w:val="00B955A5"/>
    <w:rsid w:val="00BB3D1B"/>
    <w:rsid w:val="00BB5BB9"/>
    <w:rsid w:val="00BC5690"/>
    <w:rsid w:val="00BD13CD"/>
    <w:rsid w:val="00BD3934"/>
    <w:rsid w:val="00BD3950"/>
    <w:rsid w:val="00BE57A9"/>
    <w:rsid w:val="00BE7F8F"/>
    <w:rsid w:val="00BF2ECE"/>
    <w:rsid w:val="00C00742"/>
    <w:rsid w:val="00C05B9F"/>
    <w:rsid w:val="00C165F5"/>
    <w:rsid w:val="00C22DF1"/>
    <w:rsid w:val="00C2317D"/>
    <w:rsid w:val="00C32E98"/>
    <w:rsid w:val="00C457B4"/>
    <w:rsid w:val="00C46134"/>
    <w:rsid w:val="00C624BF"/>
    <w:rsid w:val="00C63499"/>
    <w:rsid w:val="00C70DC1"/>
    <w:rsid w:val="00C807DA"/>
    <w:rsid w:val="00C84D4E"/>
    <w:rsid w:val="00C87473"/>
    <w:rsid w:val="00CA2CAB"/>
    <w:rsid w:val="00CA2D67"/>
    <w:rsid w:val="00CB0FE4"/>
    <w:rsid w:val="00CB16CC"/>
    <w:rsid w:val="00CB595D"/>
    <w:rsid w:val="00CB6B3A"/>
    <w:rsid w:val="00CD325A"/>
    <w:rsid w:val="00CD62A2"/>
    <w:rsid w:val="00D15BAA"/>
    <w:rsid w:val="00D21A76"/>
    <w:rsid w:val="00D23D73"/>
    <w:rsid w:val="00D32B2D"/>
    <w:rsid w:val="00D33F99"/>
    <w:rsid w:val="00D53377"/>
    <w:rsid w:val="00D63242"/>
    <w:rsid w:val="00D65497"/>
    <w:rsid w:val="00D727F9"/>
    <w:rsid w:val="00D8604D"/>
    <w:rsid w:val="00D8679B"/>
    <w:rsid w:val="00D959F3"/>
    <w:rsid w:val="00DB7679"/>
    <w:rsid w:val="00DC0486"/>
    <w:rsid w:val="00DC5A8C"/>
    <w:rsid w:val="00DE3C54"/>
    <w:rsid w:val="00E042F7"/>
    <w:rsid w:val="00E11370"/>
    <w:rsid w:val="00E219AA"/>
    <w:rsid w:val="00E2302E"/>
    <w:rsid w:val="00E35577"/>
    <w:rsid w:val="00E37908"/>
    <w:rsid w:val="00E51B4E"/>
    <w:rsid w:val="00E5402F"/>
    <w:rsid w:val="00E635E3"/>
    <w:rsid w:val="00E83054"/>
    <w:rsid w:val="00E92064"/>
    <w:rsid w:val="00E945BE"/>
    <w:rsid w:val="00E9724D"/>
    <w:rsid w:val="00EA094F"/>
    <w:rsid w:val="00EA5D94"/>
    <w:rsid w:val="00EA6F34"/>
    <w:rsid w:val="00EA7422"/>
    <w:rsid w:val="00EB3BED"/>
    <w:rsid w:val="00EC13E5"/>
    <w:rsid w:val="00ED5D8C"/>
    <w:rsid w:val="00EE28E2"/>
    <w:rsid w:val="00EE2D47"/>
    <w:rsid w:val="00EE5119"/>
    <w:rsid w:val="00EF6514"/>
    <w:rsid w:val="00F34679"/>
    <w:rsid w:val="00F371F7"/>
    <w:rsid w:val="00F419FC"/>
    <w:rsid w:val="00F43056"/>
    <w:rsid w:val="00F512A9"/>
    <w:rsid w:val="00F5770E"/>
    <w:rsid w:val="00F6618B"/>
    <w:rsid w:val="00F677A3"/>
    <w:rsid w:val="00F714C0"/>
    <w:rsid w:val="00F7309A"/>
    <w:rsid w:val="00F841EE"/>
    <w:rsid w:val="00F872EF"/>
    <w:rsid w:val="00F913B8"/>
    <w:rsid w:val="00FC048C"/>
    <w:rsid w:val="00FC28C4"/>
    <w:rsid w:val="00FD512B"/>
    <w:rsid w:val="00FE28AF"/>
    <w:rsid w:val="00FE4640"/>
    <w:rsid w:val="00FF18D7"/>
    <w:rsid w:val="00FF2CBB"/>
    <w:rsid w:val="20FE36DE"/>
    <w:rsid w:val="26B81998"/>
    <w:rsid w:val="2D11704B"/>
    <w:rsid w:val="2FDA799B"/>
    <w:rsid w:val="37442B40"/>
    <w:rsid w:val="44657339"/>
    <w:rsid w:val="55890EDE"/>
    <w:rsid w:val="60883192"/>
    <w:rsid w:val="70811A51"/>
    <w:rsid w:val="7C901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3"/>
    <w:next w:val="1"/>
    <w:link w:val="19"/>
    <w:qFormat/>
    <w:uiPriority w:val="0"/>
    <w:pPr>
      <w:numPr>
        <w:ilvl w:val="0"/>
        <w:numId w:val="1"/>
      </w:numPr>
      <w:spacing w:after="0" w:line="240" w:lineRule="auto"/>
      <w:jc w:val="both"/>
      <w:outlineLvl w:val="0"/>
    </w:pPr>
    <w:rPr>
      <w:rFonts w:ascii="Arial" w:hAnsi="Arial" w:eastAsia="Calibri" w:cs="Times New Roman"/>
      <w:b/>
      <w:sz w:val="20"/>
      <w:szCs w:val="24"/>
    </w:rPr>
  </w:style>
  <w:style w:type="paragraph" w:styleId="4">
    <w:name w:val="heading 2"/>
    <w:basedOn w:val="2"/>
    <w:next w:val="1"/>
    <w:link w:val="20"/>
    <w:unhideWhenUsed/>
    <w:qFormat/>
    <w:uiPriority w:val="0"/>
    <w:pPr>
      <w:numPr>
        <w:ilvl w:val="1"/>
      </w:numPr>
      <w:outlineLvl w:val="1"/>
    </w:pPr>
    <w:rPr>
      <w:b w:val="0"/>
    </w:rPr>
  </w:style>
  <w:style w:type="paragraph" w:styleId="5">
    <w:name w:val="heading 3"/>
    <w:basedOn w:val="4"/>
    <w:next w:val="1"/>
    <w:link w:val="21"/>
    <w:unhideWhenUsed/>
    <w:qFormat/>
    <w:uiPriority w:val="0"/>
    <w:pPr>
      <w:numPr>
        <w:ilvl w:val="2"/>
      </w:numPr>
      <w:outlineLvl w:val="2"/>
    </w:pPr>
  </w:style>
  <w:style w:type="paragraph" w:styleId="6">
    <w:name w:val="heading 4"/>
    <w:basedOn w:val="5"/>
    <w:next w:val="1"/>
    <w:link w:val="22"/>
    <w:unhideWhenUsed/>
    <w:qFormat/>
    <w:uiPriority w:val="0"/>
    <w:pPr>
      <w:numPr>
        <w:ilvl w:val="3"/>
      </w:numPr>
      <w:ind w:left="1021" w:hanging="1021"/>
      <w:outlineLvl w:val="3"/>
    </w:p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left="720"/>
      <w:contextualSpacing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hAnsi="Arial" w:eastAsia="Calibri" w:cs="Times New Roman"/>
      <w:sz w:val="24"/>
      <w:szCs w:val="24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0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2">
    <w:name w:val="Strong"/>
    <w:basedOn w:val="11"/>
    <w:qFormat/>
    <w:uiPriority w:val="22"/>
    <w:rPr>
      <w:b/>
      <w:bCs/>
    </w:rPr>
  </w:style>
  <w:style w:type="table" w:styleId="14">
    <w:name w:val="Table Grid"/>
    <w:basedOn w:val="1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Texto de balão Char"/>
    <w:basedOn w:val="11"/>
    <w:link w:val="10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6">
    <w:name w:val="Cabeçalho Char"/>
    <w:basedOn w:val="11"/>
    <w:link w:val="8"/>
    <w:qFormat/>
    <w:uiPriority w:val="99"/>
    <w:rPr>
      <w:rFonts w:ascii="Arial" w:hAnsi="Arial" w:eastAsia="Calibri" w:cs="Times New Roman"/>
      <w:sz w:val="24"/>
      <w:szCs w:val="24"/>
    </w:rPr>
  </w:style>
  <w:style w:type="character" w:customStyle="1" w:styleId="17">
    <w:name w:val="Rodapé Char"/>
    <w:basedOn w:val="11"/>
    <w:link w:val="9"/>
    <w:qFormat/>
    <w:uiPriority w:val="99"/>
  </w:style>
  <w:style w:type="paragraph" w:customStyle="1" w:styleId="18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pt-BR" w:eastAsia="en-US" w:bidi="ar-SA"/>
    </w:rPr>
  </w:style>
  <w:style w:type="character" w:customStyle="1" w:styleId="19">
    <w:name w:val="Título 1 Char"/>
    <w:basedOn w:val="11"/>
    <w:link w:val="2"/>
    <w:qFormat/>
    <w:uiPriority w:val="0"/>
    <w:rPr>
      <w:rFonts w:ascii="Arial" w:hAnsi="Arial" w:eastAsia="Calibri" w:cs="Times New Roman"/>
      <w:b/>
      <w:sz w:val="20"/>
      <w:szCs w:val="24"/>
    </w:rPr>
  </w:style>
  <w:style w:type="character" w:customStyle="1" w:styleId="20">
    <w:name w:val="Título 2 Char"/>
    <w:basedOn w:val="11"/>
    <w:link w:val="4"/>
    <w:qFormat/>
    <w:uiPriority w:val="0"/>
    <w:rPr>
      <w:rFonts w:ascii="Arial" w:hAnsi="Arial" w:eastAsia="Calibri" w:cs="Times New Roman"/>
      <w:sz w:val="20"/>
      <w:szCs w:val="24"/>
    </w:rPr>
  </w:style>
  <w:style w:type="character" w:customStyle="1" w:styleId="21">
    <w:name w:val="Título 3 Char"/>
    <w:basedOn w:val="11"/>
    <w:link w:val="5"/>
    <w:qFormat/>
    <w:uiPriority w:val="0"/>
    <w:rPr>
      <w:rFonts w:ascii="Arial" w:hAnsi="Arial" w:eastAsia="Calibri" w:cs="Times New Roman"/>
      <w:sz w:val="20"/>
      <w:szCs w:val="24"/>
    </w:rPr>
  </w:style>
  <w:style w:type="character" w:customStyle="1" w:styleId="22">
    <w:name w:val="Título 4 Char"/>
    <w:basedOn w:val="11"/>
    <w:link w:val="6"/>
    <w:qFormat/>
    <w:uiPriority w:val="0"/>
    <w:rPr>
      <w:rFonts w:ascii="Arial" w:hAnsi="Arial" w:eastAsia="Calibri" w:cs="Times New Roman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3A808-CF07-47AF-92F1-E7E74A1E8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1622</Words>
  <Characters>9319</Characters>
  <Lines>78</Lines>
  <Paragraphs>22</Paragraphs>
  <TotalTime>4</TotalTime>
  <ScaleCrop>false</ScaleCrop>
  <LinksUpToDate>false</LinksUpToDate>
  <CharactersWithSpaces>10926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2021-09-17T19:54:00Z</dcterms:created>
  <dc:creator>CODEVASF</dc:creator>
  <cp:lastModifiedBy>ana.amorim</cp:lastModifiedBy>
  <cp:lastPrinted>2021-08-02T17:37:00Z</cp:lastPrinted>
  <dcterms:modified xsi:type="dcterms:W3CDTF">2021-11-24T11:13:17Z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