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8F" w:rsidRPr="00DF6E5B" w:rsidRDefault="00E8288F" w:rsidP="00E8288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Mapa</w:t>
      </w:r>
      <w:r w:rsidRPr="00DF6E5B">
        <w:rPr>
          <w:rFonts w:ascii="Arial" w:hAnsi="Arial" w:cs="Arial"/>
          <w:b/>
          <w:sz w:val="32"/>
          <w:szCs w:val="32"/>
        </w:rPr>
        <w:t xml:space="preserve"> de Riscos</w:t>
      </w:r>
    </w:p>
    <w:p w:rsidR="00E8288F" w:rsidRPr="00DF6E5B" w:rsidRDefault="00E8288F" w:rsidP="00E8288F">
      <w:pPr>
        <w:rPr>
          <w:rFonts w:ascii="Arial" w:hAnsi="Arial" w:cs="Arial"/>
          <w:sz w:val="24"/>
          <w:szCs w:val="24"/>
        </w:rPr>
      </w:pPr>
    </w:p>
    <w:p w:rsidR="00E8288F" w:rsidRPr="00E8288F" w:rsidRDefault="00E8288F" w:rsidP="00E828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Data de Elaboração: </w:t>
      </w:r>
      <w:r w:rsidR="00CC32E7">
        <w:rPr>
          <w:rFonts w:ascii="Arial" w:hAnsi="Arial" w:cs="Arial"/>
          <w:sz w:val="24"/>
          <w:szCs w:val="24"/>
        </w:rPr>
        <w:t>23</w:t>
      </w:r>
      <w:r w:rsidR="005C3E53">
        <w:rPr>
          <w:rFonts w:ascii="Arial" w:hAnsi="Arial" w:cs="Arial"/>
          <w:sz w:val="24"/>
          <w:szCs w:val="24"/>
        </w:rPr>
        <w:t>/11</w:t>
      </w:r>
      <w:r w:rsidRPr="00E8288F">
        <w:rPr>
          <w:rFonts w:ascii="Arial" w:hAnsi="Arial" w:cs="Arial"/>
          <w:sz w:val="24"/>
          <w:szCs w:val="24"/>
        </w:rPr>
        <w:t>/2021</w:t>
      </w:r>
    </w:p>
    <w:p w:rsidR="00E8288F" w:rsidRPr="00E8288F" w:rsidRDefault="00E8288F" w:rsidP="00E8288F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OBJETO: </w:t>
      </w:r>
      <w:r w:rsidRPr="00E8288F">
        <w:rPr>
          <w:rFonts w:ascii="Arial" w:hAnsi="Arial" w:cs="Arial"/>
          <w:sz w:val="24"/>
          <w:szCs w:val="20"/>
        </w:rPr>
        <w:t>Fornecimento</w:t>
      </w:r>
      <w:r w:rsidRPr="00E8288F">
        <w:rPr>
          <w:rFonts w:ascii="Arial" w:hAnsi="Arial" w:cs="Arial"/>
          <w:color w:val="0070C0"/>
          <w:sz w:val="24"/>
          <w:szCs w:val="20"/>
        </w:rPr>
        <w:t xml:space="preserve"> </w:t>
      </w:r>
      <w:r w:rsidRPr="00E8288F">
        <w:rPr>
          <w:rFonts w:ascii="Arial" w:hAnsi="Arial" w:cs="Arial"/>
          <w:bCs/>
          <w:sz w:val="24"/>
          <w:szCs w:val="20"/>
        </w:rPr>
        <w:t>de veículos visando atender às necessidades da 2ª Superintendência Regional da CODEVASF, no estado da Bahia</w:t>
      </w:r>
      <w:r>
        <w:rPr>
          <w:rFonts w:ascii="Arial" w:hAnsi="Arial" w:cs="Arial"/>
          <w:bCs/>
          <w:sz w:val="24"/>
          <w:szCs w:val="20"/>
        </w:rPr>
        <w:t>.</w:t>
      </w:r>
    </w:p>
    <w:p w:rsidR="00E8288F" w:rsidRDefault="00E8288F" w:rsidP="00E8288F"/>
    <w:tbl>
      <w:tblPr>
        <w:tblW w:w="14454" w:type="dxa"/>
        <w:tblCellMar>
          <w:left w:w="70" w:type="dxa"/>
          <w:right w:w="70" w:type="dxa"/>
        </w:tblCellMar>
        <w:tblLook w:val="04A0"/>
      </w:tblPr>
      <w:tblGrid>
        <w:gridCol w:w="1552"/>
        <w:gridCol w:w="2696"/>
        <w:gridCol w:w="3118"/>
        <w:gridCol w:w="3261"/>
        <w:gridCol w:w="3827"/>
      </w:tblGrid>
      <w:tr w:rsidR="00E8288F" w:rsidRPr="007F2677" w:rsidTr="00877789">
        <w:trPr>
          <w:trHeight w:val="900"/>
          <w:tblHeader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Tipo de Risco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Materialização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Mitigação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Alocação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de Responsabilidade pelo Risco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E828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Mudanças tributárias alterando os custos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finais dos veículos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carga tributária incidente sobre o produto.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celebrará aditivo de reequilíbrio econômico-financeiro.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de rescisão ou anulação do contrato por fatores atribuíveis ao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333248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imputação ao contratado de quaisquer outras perdas e danos da Administração em virtude da rescisão contratual por culpa do contratado.</w:t>
            </w: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Liquidez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financeira do con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tratado, bem como declaração de falência ou recuperação judicial do contratado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333248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imputação ao contratado de quaisquer outras perdas e danos da Estatal em virtude da rescisão contratual por culpa do contratado.</w:t>
            </w: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Acidentes no transporte dos veículos.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repor os veículos danificados.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Responsabilidade civil por danos à propriedade de terceiros.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 morais a eventuais vítimas.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judicial.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 e outras penalidades aplicadas por órgãos de fiscalização.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das Normas de Segurança do Transportes (NR-11).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Lei de Transporte Rodoviário de Cargas nº.11.442/2017.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Contratação de seguro de responsabilidade civil ou de risco com cobertura adequada.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Cumprimento 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Lei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9.503/97 – Código de 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Trânsito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Brasileiro – CTB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contratado, cabendo ação de regresso do contratante contra o contratado no caso de a estatal ser acionada judicialmente por terceiros em virtude dos acidentes.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Omissão no pagamento dos Tributos de Transporte Rodoviários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Retenção da carga transportada.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entrega dos bens.</w:t>
            </w:r>
          </w:p>
          <w:p w:rsidR="00E8288F" w:rsidRPr="00055280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das Normas de Tributação de Transporte Rodoviário.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Cumprimento 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Lei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9.503/97 – Código de 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Trânsito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Brasileiro – CTB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 arcará com as despesas financeiras e todo o trâmite administrativo necessário.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Contratada terá responsabilidade compartilhada em caso de ações judiciais.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Roubos e furtos de materiais e equipamentos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 veículo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de custos de execução.           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atrasos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para a aquisição de novos bens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danos aos veículos.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Seguro contra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roubos e furtos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Previsão de posto de vigia nos locais de guarda.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nadimplência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ou atraso de pagamentos pelo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contratante.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da contratada.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paralisação dos fornecimentos.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aumento do custo com atualizações financeiras.</w:t>
            </w:r>
          </w:p>
          <w:p w:rsidR="00E8288F" w:rsidRPr="007F2677" w:rsidRDefault="00E8288F" w:rsidP="00877789">
            <w:pPr>
              <w:pStyle w:val="PargrafodaLista"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Adequada gestão orçamentária e financeira pelo órgão contratante.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Cláusula prevendo que o contratado pode suspender os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fornecimentos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após inadimplência superior a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três meses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prevendo o pagamento de atualização financeira sobre as faturas em atraso.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Prorrogação da Ordem de Fornecimento.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arcará com a atualização financeira prevista em contrato no caso de o atraso nos pagamentos superar os 30 dias.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Também haverá prorrogação do prazo se o período de inadimplência superar os 90 dias.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Prejuízos causados por subcontratados.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umento dos custos ou descumprimento dos prazos contratuais.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necessidade de reparar danos causados.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Previsão contratual de aplicação de penalidades.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seguro.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requisitos adequados de habilitação dos licitantes.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Avaliação, pela equipe de fiscalização, dos pedidos de subcontratação formulados pelo contratado.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g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 ou manifestações de empregados da própria estatal contratante que possam ser caracterizadas como fato da administração.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no fornecimento.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Pagamento de atualização financeira sobre as faturas em atraso.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Reequilíbrio econômico-financeiro do contrato.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contratual.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Risco do contratante, prorrogará o contrato de fornecimento e celebrará o aditamento do contrato recompondo o seu reequilíbrio econômico-financeiro.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A702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Haverá pagamento de atualização financeira das faturas liquidadas com mais de 30 dias de atraso, sem o prejuízo de o contratado suspender o fornecimento se o atraso nos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pagamentos se prolongar para além de 90 dias.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Alteração da legislação, regulamentos e normas que causem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novos encargos ou obrigações ao contratado.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operacionais.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poderá aditar o contrato, recompondo o seu equilíbrio econômico-financeiro.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Liquidez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Restrição orçamentária e/ou financeira do órgão contratante.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ou paralisação dos fornecimentos.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inadimplência no pagamento dos fornecimentos já executados.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emissão de empenhos.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na assinatura de contratos </w:t>
            </w:r>
          </w:p>
          <w:p w:rsidR="00E8288F" w:rsidRPr="009205B3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Adequada gestão orçamentária e financeira.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de prazo contratual.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Reequilíbrio econômico-financeiro do contrato.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Observância da ordem cronológica de pagamentos.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do contratante, que prorrogará o contrato.</w:t>
            </w:r>
          </w:p>
        </w:tc>
      </w:tr>
    </w:tbl>
    <w:p w:rsidR="00E8288F" w:rsidRDefault="00E8288F" w:rsidP="00E02ADF"/>
    <w:sectPr w:rsidR="00E8288F" w:rsidSect="00E831C8">
      <w:headerReference w:type="default" r:id="rId7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688" w:rsidRDefault="00892688" w:rsidP="00AB36EE">
      <w:pPr>
        <w:spacing w:after="0" w:line="240" w:lineRule="auto"/>
      </w:pPr>
      <w:r>
        <w:separator/>
      </w:r>
    </w:p>
  </w:endnote>
  <w:endnote w:type="continuationSeparator" w:id="1">
    <w:p w:rsidR="00892688" w:rsidRDefault="00892688" w:rsidP="00AB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688" w:rsidRDefault="00892688" w:rsidP="00AB36EE">
      <w:pPr>
        <w:spacing w:after="0" w:line="240" w:lineRule="auto"/>
      </w:pPr>
      <w:r>
        <w:separator/>
      </w:r>
    </w:p>
  </w:footnote>
  <w:footnote w:type="continuationSeparator" w:id="1">
    <w:p w:rsidR="00892688" w:rsidRDefault="00892688" w:rsidP="00AB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8" w:type="dxa"/>
      <w:jc w:val="center"/>
      <w:tblLook w:val="04A0"/>
    </w:tblPr>
    <w:tblGrid>
      <w:gridCol w:w="2974"/>
      <w:gridCol w:w="385"/>
      <w:gridCol w:w="7279"/>
    </w:tblGrid>
    <w:tr w:rsidR="00AB36EE" w:rsidRPr="006E1FC2" w:rsidTr="00996422">
      <w:trPr>
        <w:trHeight w:val="113"/>
        <w:jc w:val="center"/>
      </w:trPr>
      <w:tc>
        <w:tcPr>
          <w:tcW w:w="2974" w:type="dxa"/>
          <w:vAlign w:val="center"/>
        </w:tcPr>
        <w:p w:rsidR="00AB36EE" w:rsidRPr="006E1FC2" w:rsidRDefault="00AB36EE" w:rsidP="00996422">
          <w:pPr>
            <w:pStyle w:val="Cabealho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  <w:lang w:eastAsia="pt-BR"/>
            </w:rPr>
            <w:drawing>
              <wp:inline distT="0" distB="0" distL="0" distR="0">
                <wp:extent cx="1690777" cy="456825"/>
                <wp:effectExtent l="19050" t="0" r="4673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1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Align w:val="center"/>
        </w:tcPr>
        <w:p w:rsidR="00AB36EE" w:rsidRPr="006E1FC2" w:rsidRDefault="00AB36EE" w:rsidP="00996422">
          <w:pPr>
            <w:pStyle w:val="Cabealho"/>
            <w:ind w:right="69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7279" w:type="dxa"/>
          <w:vAlign w:val="center"/>
        </w:tcPr>
        <w:p w:rsidR="00AB36EE" w:rsidRPr="00BF3C27" w:rsidRDefault="00E86F1D" w:rsidP="00996422">
          <w:pPr>
            <w:pStyle w:val="Cabealho"/>
            <w:ind w:hanging="131"/>
            <w:rPr>
              <w:rFonts w:ascii="Times New Roman" w:hAnsi="Times New Roman"/>
              <w:b/>
            </w:rPr>
          </w:pPr>
          <w:r w:rsidRPr="00E86F1D">
            <w:rPr>
              <w:rFonts w:ascii="Times New Roman" w:hAnsi="Times New Roman"/>
              <w:noProof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3073" type="#_x0000_t202" style="position:absolute;margin-left:330.8pt;margin-top:-51.8pt;width:3.55pt;height:3.5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" stroked="f" strokecolor="gray" strokeweight=".25pt">
                <v:textbox>
                  <w:txbxContent>
                    <w:p w:rsidR="00AB36EE" w:rsidRPr="00BF3C27" w:rsidRDefault="00AB36EE" w:rsidP="00AB36EE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4"/>
                        </w:rPr>
                      </w:pPr>
                    </w:p>
                  </w:txbxContent>
                </v:textbox>
              </v:shape>
            </w:pict>
          </w:r>
          <w:r w:rsidR="00AB36EE" w:rsidRPr="00BF3C27">
            <w:rPr>
              <w:rFonts w:ascii="Times New Roman" w:hAnsi="Times New Roman"/>
              <w:b/>
            </w:rPr>
            <w:t>Ministério do Desenvolvimento Regional – MDR</w:t>
          </w:r>
        </w:p>
        <w:p w:rsidR="00AB36EE" w:rsidRPr="00BF3C27" w:rsidRDefault="00AB36EE" w:rsidP="00996422">
          <w:pPr>
            <w:pStyle w:val="Cabealho"/>
            <w:ind w:hanging="131"/>
            <w:rPr>
              <w:rFonts w:ascii="Times New Roman" w:hAnsi="Times New Roman"/>
              <w:b/>
              <w:sz w:val="19"/>
              <w:szCs w:val="19"/>
            </w:rPr>
          </w:pPr>
          <w:r w:rsidRPr="00BF3C27">
            <w:rPr>
              <w:rFonts w:ascii="Times New Roman" w:hAnsi="Times New Roman"/>
              <w:b/>
              <w:sz w:val="19"/>
              <w:szCs w:val="19"/>
            </w:rPr>
            <w:t>Companhia de Desenvolvimento dos Vales do São Francisco e do Parnaíba</w:t>
          </w:r>
        </w:p>
        <w:p w:rsidR="00AB36EE" w:rsidRPr="006E1FC2" w:rsidRDefault="00AB36EE" w:rsidP="00996422">
          <w:pPr>
            <w:pStyle w:val="Cabealho"/>
            <w:ind w:hanging="131"/>
            <w:rPr>
              <w:rFonts w:ascii="Times New Roman" w:hAnsi="Times New Roman"/>
              <w:b/>
              <w:sz w:val="20"/>
              <w:szCs w:val="20"/>
            </w:rPr>
          </w:pPr>
          <w:r>
            <w:rPr>
              <w:rFonts w:ascii="Times New Roman" w:hAnsi="Times New Roman"/>
              <w:b/>
              <w:sz w:val="19"/>
              <w:szCs w:val="19"/>
            </w:rPr>
            <w:t>2</w:t>
          </w:r>
          <w:r w:rsidRPr="00BF3C27">
            <w:rPr>
              <w:rFonts w:ascii="Times New Roman" w:hAnsi="Times New Roman"/>
              <w:b/>
              <w:sz w:val="19"/>
              <w:szCs w:val="19"/>
            </w:rPr>
            <w:t>ª Superintendência Regional</w:t>
          </w:r>
        </w:p>
      </w:tc>
    </w:tr>
  </w:tbl>
  <w:p w:rsidR="00AB36EE" w:rsidRDefault="00AB36E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B78B8"/>
    <w:multiLevelType w:val="hybridMultilevel"/>
    <w:tmpl w:val="881AE046"/>
    <w:lvl w:ilvl="0" w:tplc="041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E831C8"/>
    <w:rsid w:val="0000790B"/>
    <w:rsid w:val="002A040D"/>
    <w:rsid w:val="002C6124"/>
    <w:rsid w:val="00333248"/>
    <w:rsid w:val="00457768"/>
    <w:rsid w:val="004E1538"/>
    <w:rsid w:val="005467CD"/>
    <w:rsid w:val="005951DA"/>
    <w:rsid w:val="005C3E53"/>
    <w:rsid w:val="006025A6"/>
    <w:rsid w:val="00656EC3"/>
    <w:rsid w:val="00892688"/>
    <w:rsid w:val="00906A98"/>
    <w:rsid w:val="00973768"/>
    <w:rsid w:val="00AB36EE"/>
    <w:rsid w:val="00C62EFA"/>
    <w:rsid w:val="00C73EC6"/>
    <w:rsid w:val="00C95603"/>
    <w:rsid w:val="00CA24BC"/>
    <w:rsid w:val="00CC32E7"/>
    <w:rsid w:val="00D7598F"/>
    <w:rsid w:val="00DA71C0"/>
    <w:rsid w:val="00E02ADF"/>
    <w:rsid w:val="00E8288F"/>
    <w:rsid w:val="00E831C8"/>
    <w:rsid w:val="00E86F1D"/>
    <w:rsid w:val="00E94FA8"/>
    <w:rsid w:val="00EA1076"/>
    <w:rsid w:val="00F3145F"/>
    <w:rsid w:val="00F61D37"/>
    <w:rsid w:val="00F72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1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3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831C8"/>
    <w:pPr>
      <w:ind w:left="720"/>
      <w:contextualSpacing/>
    </w:p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B36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B36EE"/>
  </w:style>
  <w:style w:type="paragraph" w:styleId="Rodap">
    <w:name w:val="footer"/>
    <w:basedOn w:val="Normal"/>
    <w:link w:val="RodapChar"/>
    <w:uiPriority w:val="99"/>
    <w:semiHidden/>
    <w:unhideWhenUsed/>
    <w:rsid w:val="00AB36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B36EE"/>
  </w:style>
  <w:style w:type="paragraph" w:styleId="Textodebalo">
    <w:name w:val="Balloon Text"/>
    <w:basedOn w:val="Normal"/>
    <w:link w:val="TextodebaloChar"/>
    <w:uiPriority w:val="99"/>
    <w:semiHidden/>
    <w:unhideWhenUsed/>
    <w:rsid w:val="00AB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3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881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 de Sousa Carvalho</dc:creator>
  <cp:lastModifiedBy>Marcelo Antônio Queiroga Cristino Santos</cp:lastModifiedBy>
  <cp:revision>6</cp:revision>
  <cp:lastPrinted>2021-07-28T19:50:00Z</cp:lastPrinted>
  <dcterms:created xsi:type="dcterms:W3CDTF">2021-07-28T19:47:00Z</dcterms:created>
  <dcterms:modified xsi:type="dcterms:W3CDTF">2021-11-23T12:40:00Z</dcterms:modified>
</cp:coreProperties>
</file>