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28"/>
          <w:szCs w:val="28"/>
          <w:highlight w:val="none"/>
        </w:rPr>
      </w:pPr>
    </w:p>
    <w:p>
      <w:pPr>
        <w:jc w:val="center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none"/>
        </w:rPr>
        <w:t>ESTUDO TÉCNICO PRELIMINAR – ETP</w:t>
      </w:r>
    </w:p>
    <w:p>
      <w:pPr>
        <w:rPr>
          <w:highlight w:val="none"/>
        </w:rPr>
      </w:pPr>
    </w:p>
    <w:p>
      <w:pPr>
        <w:rPr>
          <w:highlight w:val="none"/>
        </w:rPr>
      </w:pPr>
    </w:p>
    <w:p>
      <w:pPr>
        <w:rPr>
          <w:highlight w:val="none"/>
        </w:rPr>
      </w:pPr>
    </w:p>
    <w:p>
      <w:pPr>
        <w:rPr>
          <w:highlight w:val="none"/>
        </w:rPr>
      </w:pPr>
      <w:r>
        <w:rPr>
          <w:highlight w:val="none"/>
        </w:rPr>
        <w:t xml:space="preserve">Nº: </w:t>
      </w:r>
      <w:r>
        <w:rPr>
          <w:highlight w:val="none"/>
        </w:rPr>
        <w:t>00</w:t>
      </w:r>
      <w:r>
        <w:rPr>
          <w:rFonts w:hint="default"/>
          <w:highlight w:val="none"/>
          <w:lang w:val="pt-BR"/>
        </w:rPr>
        <w:t>8</w:t>
      </w:r>
      <w:r>
        <w:rPr>
          <w:highlight w:val="none"/>
        </w:rPr>
        <w:t>/2021</w:t>
      </w:r>
      <w:r>
        <w:rPr>
          <w:highlight w:val="none"/>
        </w:rPr>
        <w:t xml:space="preserve"> – 2ª/GRR/USA</w:t>
      </w:r>
      <w:r>
        <w:rPr>
          <w:highlight w:val="none"/>
        </w:rPr>
        <w:tab/>
      </w:r>
      <w:r>
        <w:rPr>
          <w:highlight w:val="none"/>
        </w:rPr>
        <w:tab/>
      </w:r>
      <w:r>
        <w:rPr>
          <w:highlight w:val="none"/>
        </w:rPr>
        <w:tab/>
      </w:r>
      <w:r>
        <w:rPr>
          <w:highlight w:val="none"/>
        </w:rPr>
        <w:tab/>
      </w:r>
      <w:r>
        <w:rPr>
          <w:highlight w:val="none"/>
        </w:rPr>
        <w:tab/>
      </w:r>
      <w:r>
        <w:rPr>
          <w:highlight w:val="none"/>
        </w:rPr>
        <w:t xml:space="preserve">Data: </w:t>
      </w:r>
      <w:r>
        <w:rPr>
          <w:rFonts w:hint="default"/>
          <w:highlight w:val="none"/>
          <w:lang w:val="pt-BR"/>
        </w:rPr>
        <w:t>29</w:t>
      </w:r>
      <w:r>
        <w:rPr>
          <w:highlight w:val="none"/>
        </w:rPr>
        <w:t>/1</w:t>
      </w:r>
      <w:r>
        <w:rPr>
          <w:rFonts w:hint="default"/>
          <w:highlight w:val="none"/>
          <w:lang w:val="pt-BR"/>
        </w:rPr>
        <w:t>1</w:t>
      </w:r>
      <w:r>
        <w:rPr>
          <w:highlight w:val="none"/>
        </w:rPr>
        <w:t>/2021.</w:t>
      </w:r>
    </w:p>
    <w:p>
      <w:pPr>
        <w:rPr>
          <w:highlight w:val="none"/>
        </w:rPr>
      </w:pPr>
    </w:p>
    <w:p>
      <w:pPr>
        <w:rPr>
          <w:highlight w:val="none"/>
        </w:rPr>
      </w:pPr>
    </w:p>
    <w:p>
      <w:pPr>
        <w:rPr>
          <w:highlight w:val="none"/>
        </w:rPr>
      </w:pPr>
    </w:p>
    <w:p>
      <w:pPr>
        <w:pStyle w:val="2"/>
        <w:spacing w:after="0"/>
        <w:ind w:left="0"/>
        <w:rPr>
          <w:highlight w:val="none"/>
        </w:rPr>
      </w:pPr>
      <w:r>
        <w:rPr>
          <w:highlight w:val="none"/>
        </w:rPr>
        <w:t>IDENTIFICAÇÃO</w:t>
      </w:r>
    </w:p>
    <w:p>
      <w:pPr>
        <w:rPr>
          <w:highlight w:val="none"/>
        </w:rPr>
      </w:pPr>
    </w:p>
    <w:tbl>
      <w:tblPr>
        <w:tblStyle w:val="16"/>
        <w:tblW w:w="850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1"/>
        <w:gridCol w:w="42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4251" w:type="dxa"/>
            <w:vAlign w:val="center"/>
          </w:tcPr>
          <w:p>
            <w:pPr>
              <w:rPr>
                <w:highlight w:val="none"/>
              </w:rPr>
            </w:pPr>
            <w:r>
              <w:rPr>
                <w:highlight w:val="none"/>
              </w:rPr>
              <w:t>Gerência demandante:</w:t>
            </w:r>
          </w:p>
        </w:tc>
        <w:tc>
          <w:tcPr>
            <w:tcW w:w="4254" w:type="dxa"/>
            <w:vAlign w:val="center"/>
          </w:tcPr>
          <w:p>
            <w:pPr>
              <w:rPr>
                <w:highlight w:val="none"/>
              </w:rPr>
            </w:pPr>
            <w:r>
              <w:rPr>
                <w:highlight w:val="none"/>
              </w:rPr>
              <w:t>2ª/GRR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4251" w:type="dxa"/>
            <w:vAlign w:val="center"/>
          </w:tcPr>
          <w:p>
            <w:pPr>
              <w:rPr>
                <w:highlight w:val="none"/>
              </w:rPr>
            </w:pPr>
            <w:r>
              <w:rPr>
                <w:highlight w:val="none"/>
              </w:rPr>
              <w:t>Responsável pela elaboração:</w:t>
            </w:r>
          </w:p>
        </w:tc>
        <w:tc>
          <w:tcPr>
            <w:tcW w:w="4254" w:type="dxa"/>
            <w:vAlign w:val="center"/>
          </w:tcPr>
          <w:p>
            <w:pPr>
              <w:rPr>
                <w:highlight w:val="none"/>
              </w:rPr>
            </w:pPr>
            <w:r>
              <w:rPr>
                <w:highlight w:val="none"/>
              </w:rPr>
              <w:t>Rafael Apoena Marques Trece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4251" w:type="dxa"/>
            <w:vAlign w:val="center"/>
          </w:tcPr>
          <w:p>
            <w:pPr>
              <w:rPr>
                <w:highlight w:val="none"/>
              </w:rPr>
            </w:pPr>
            <w:r>
              <w:rPr>
                <w:highlight w:val="none"/>
              </w:rPr>
              <w:t>Responsável pela aprovação:</w:t>
            </w:r>
          </w:p>
        </w:tc>
        <w:tc>
          <w:tcPr>
            <w:tcW w:w="4254" w:type="dxa"/>
            <w:vAlign w:val="center"/>
          </w:tcPr>
          <w:p>
            <w:pPr>
              <w:rPr>
                <w:highlight w:val="none"/>
              </w:rPr>
            </w:pPr>
            <w:r>
              <w:rPr>
                <w:highlight w:val="none"/>
              </w:rPr>
              <w:t>Edson Rodrigues Marques Junior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4251" w:type="dxa"/>
            <w:vAlign w:val="center"/>
          </w:tcPr>
          <w:p>
            <w:pPr>
              <w:rPr>
                <w:highlight w:val="none"/>
              </w:rPr>
            </w:pPr>
            <w:r>
              <w:rPr>
                <w:highlight w:val="none"/>
              </w:rPr>
              <w:t>Responsável pela homologação – 2ªSR:</w:t>
            </w:r>
          </w:p>
        </w:tc>
        <w:tc>
          <w:tcPr>
            <w:tcW w:w="4254" w:type="dxa"/>
            <w:vAlign w:val="center"/>
          </w:tcPr>
          <w:p>
            <w:pPr>
              <w:rPr>
                <w:highlight w:val="none"/>
              </w:rPr>
            </w:pPr>
            <w:r>
              <w:rPr>
                <w:highlight w:val="none"/>
              </w:rPr>
              <w:t>Harley Xavier Nascimento</w:t>
            </w:r>
          </w:p>
        </w:tc>
      </w:tr>
    </w:tbl>
    <w:p>
      <w:pPr>
        <w:rPr>
          <w:highlight w:val="none"/>
        </w:rPr>
      </w:pPr>
    </w:p>
    <w:p>
      <w:pPr>
        <w:rPr>
          <w:highlight w:val="none"/>
        </w:rPr>
      </w:pPr>
    </w:p>
    <w:p>
      <w:pPr>
        <w:pStyle w:val="2"/>
        <w:spacing w:after="0"/>
        <w:ind w:left="0"/>
        <w:rPr>
          <w:highlight w:val="none"/>
        </w:rPr>
      </w:pPr>
      <w:r>
        <w:rPr>
          <w:highlight w:val="none"/>
        </w:rPr>
        <w:t>DEFINIÇÃO DO OBJETO</w:t>
      </w:r>
    </w:p>
    <w:p>
      <w:pPr>
        <w:rPr>
          <w:highlight w:val="none"/>
        </w:rPr>
      </w:pPr>
    </w:p>
    <w:p>
      <w:pPr>
        <w:rPr>
          <w:highlight w:val="none"/>
        </w:rPr>
      </w:pPr>
      <w:r>
        <w:rPr>
          <w:rFonts w:hint="default"/>
          <w:highlight w:val="none"/>
          <w:lang w:val="pt-BR"/>
        </w:rPr>
        <w:t>E</w:t>
      </w:r>
      <w:r>
        <w:rPr>
          <w:rFonts w:hint="default"/>
          <w:highlight w:val="none"/>
        </w:rPr>
        <w:t>xecução dos serviços de fornecimento, transporte e instalação de reservatório de acumulação de água, visando o abastecimento de comunidades rurais difusas, localizadas em municípios, no estado da Bahia, na área de atuação da 2ª Superintendência Regional</w:t>
      </w:r>
      <w:r>
        <w:rPr>
          <w:highlight w:val="none"/>
        </w:rPr>
        <w:t>.</w:t>
      </w:r>
    </w:p>
    <w:p>
      <w:pPr>
        <w:rPr>
          <w:highlight w:val="none"/>
        </w:rPr>
      </w:pPr>
    </w:p>
    <w:p>
      <w:pPr>
        <w:rPr>
          <w:highlight w:val="none"/>
        </w:rPr>
      </w:pPr>
    </w:p>
    <w:p>
      <w:pPr>
        <w:pStyle w:val="2"/>
        <w:spacing w:after="0"/>
        <w:ind w:left="0"/>
        <w:rPr>
          <w:highlight w:val="none"/>
        </w:rPr>
      </w:pPr>
      <w:r>
        <w:rPr>
          <w:highlight w:val="none"/>
        </w:rPr>
        <w:t>NECESSIDADE DA CONTRATAÇÃO</w:t>
      </w:r>
    </w:p>
    <w:p>
      <w:pPr>
        <w:rPr>
          <w:highlight w:val="none"/>
        </w:rPr>
      </w:pPr>
    </w:p>
    <w:p>
      <w:pPr>
        <w:rPr>
          <w:highlight w:val="none"/>
        </w:rPr>
      </w:pPr>
      <w:r>
        <w:rPr>
          <w:highlight w:val="none"/>
        </w:rPr>
        <w:t>A necessidade de contratação justifica-se por razões de interesse público, pois é sabido que na região nordeste, em especial no semiárido, há dificuldade de acesso à água pela população, quer seja pelo deficit hídrico da região, quer seja por questões socioeconômicas.</w:t>
      </w:r>
    </w:p>
    <w:p>
      <w:pPr>
        <w:rPr>
          <w:highlight w:val="none"/>
        </w:rPr>
      </w:pPr>
    </w:p>
    <w:p>
      <w:pPr>
        <w:rPr>
          <w:highlight w:val="none"/>
        </w:rPr>
      </w:pPr>
      <w:r>
        <w:rPr>
          <w:highlight w:val="none"/>
        </w:rPr>
        <w:t>A implantação de infraestruturas</w:t>
      </w:r>
      <w:r>
        <w:rPr>
          <w:rFonts w:hint="default"/>
          <w:highlight w:val="none"/>
          <w:lang w:val="pt-BR"/>
        </w:rPr>
        <w:t>,</w:t>
      </w:r>
      <w:r>
        <w:rPr>
          <w:highlight w:val="none"/>
        </w:rPr>
        <w:t xml:space="preserve"> como a que se pretende construir por meio desta contratação</w:t>
      </w:r>
      <w:r>
        <w:rPr>
          <w:rFonts w:hint="default"/>
          <w:highlight w:val="none"/>
          <w:lang w:val="pt-BR"/>
        </w:rPr>
        <w:t>,</w:t>
      </w:r>
      <w:r>
        <w:rPr>
          <w:highlight w:val="none"/>
        </w:rPr>
        <w:t xml:space="preserve"> contribuirá para a universalização do acesso à água, um dos princípios fundamentais da Lei Federal nº 11.445/2007, que  estabelece as diretrizes nacionais para o saneamento básico, entendidos como conjunto de serviços públicos, infraestruturas e instalações operacionais de: abastecimento de água potável; esgotamento sanitário; limpeza urbana e manejo de resíduos sólidos; e drenagem e manejo das águas pluviais urbanas.</w:t>
      </w:r>
    </w:p>
    <w:p>
      <w:pPr>
        <w:rPr>
          <w:highlight w:val="none"/>
        </w:rPr>
      </w:pPr>
    </w:p>
    <w:p>
      <w:pPr>
        <w:rPr>
          <w:highlight w:val="none"/>
        </w:rPr>
      </w:pPr>
      <w:r>
        <w:rPr>
          <w:rFonts w:hint="default"/>
          <w:highlight w:val="none"/>
        </w:rPr>
        <w:t>Dessa</w:t>
      </w:r>
      <w:r>
        <w:rPr>
          <w:rFonts w:hint="default"/>
          <w:highlight w:val="none"/>
          <w:lang w:val="pt-BR"/>
        </w:rPr>
        <w:t xml:space="preserve"> </w:t>
      </w:r>
      <w:r>
        <w:rPr>
          <w:rFonts w:hint="default"/>
          <w:highlight w:val="none"/>
        </w:rPr>
        <w:t>forma, torna-se necessária a contratação dos serviços objeto da presente licitação</w:t>
      </w:r>
      <w:r>
        <w:rPr>
          <w:rFonts w:hint="default"/>
          <w:highlight w:val="none"/>
          <w:lang w:val="pt-BR"/>
        </w:rPr>
        <w:t xml:space="preserve"> </w:t>
      </w:r>
      <w:r>
        <w:rPr>
          <w:rFonts w:hint="default"/>
          <w:highlight w:val="none"/>
        </w:rPr>
        <w:t>para atender a demanda de municípios da área de atuação da Codevasf, no âmbito</w:t>
      </w:r>
      <w:r>
        <w:rPr>
          <w:rFonts w:hint="default"/>
          <w:highlight w:val="none"/>
          <w:lang w:val="pt-BR"/>
        </w:rPr>
        <w:t xml:space="preserve"> </w:t>
      </w:r>
      <w:r>
        <w:rPr>
          <w:rFonts w:hint="default"/>
          <w:highlight w:val="none"/>
        </w:rPr>
        <w:t>da 2ª Superintendência Regional, visando a melhoria da qualidade de vida da</w:t>
      </w:r>
      <w:r>
        <w:rPr>
          <w:rFonts w:hint="default"/>
          <w:highlight w:val="none"/>
          <w:lang w:val="pt-BR"/>
        </w:rPr>
        <w:t xml:space="preserve"> </w:t>
      </w:r>
      <w:r>
        <w:rPr>
          <w:rFonts w:hint="default"/>
          <w:highlight w:val="none"/>
        </w:rPr>
        <w:t xml:space="preserve">população a ser beneficiada, indo </w:t>
      </w:r>
      <w:r>
        <w:rPr>
          <w:rFonts w:hint="default"/>
          <w:highlight w:val="none"/>
          <w:lang w:val="pt-BR"/>
        </w:rPr>
        <w:t xml:space="preserve">de </w:t>
      </w:r>
      <w:r>
        <w:rPr>
          <w:rFonts w:hint="default"/>
          <w:highlight w:val="none"/>
        </w:rPr>
        <w:t xml:space="preserve">encontro </w:t>
      </w:r>
      <w:r>
        <w:rPr>
          <w:rFonts w:hint="default"/>
          <w:highlight w:val="none"/>
          <w:lang w:val="pt-BR"/>
        </w:rPr>
        <w:t>à</w:t>
      </w:r>
      <w:r>
        <w:rPr>
          <w:rFonts w:hint="default"/>
          <w:highlight w:val="none"/>
        </w:rPr>
        <w:t xml:space="preserve"> missão institucional da Codevasf.</w:t>
      </w:r>
      <w:r>
        <w:rPr>
          <w:rFonts w:hint="default"/>
          <w:highlight w:val="none"/>
          <w:lang w:val="pt-BR"/>
        </w:rPr>
        <w:t xml:space="preserve"> </w:t>
      </w:r>
    </w:p>
    <w:p>
      <w:pPr>
        <w:jc w:val="both"/>
        <w:rPr>
          <w:rFonts w:hint="default"/>
          <w:highlight w:val="none"/>
          <w:lang w:val="pt-BR"/>
        </w:rPr>
      </w:pPr>
    </w:p>
    <w:p>
      <w:pPr>
        <w:rPr>
          <w:highlight w:val="none"/>
        </w:rPr>
      </w:pPr>
    </w:p>
    <w:p>
      <w:pPr>
        <w:pStyle w:val="2"/>
        <w:spacing w:after="0"/>
        <w:ind w:left="0"/>
        <w:rPr>
          <w:highlight w:val="none"/>
        </w:rPr>
      </w:pPr>
      <w:r>
        <w:rPr>
          <w:highlight w:val="none"/>
        </w:rPr>
        <w:t>ALINHAMENTO ESTRATÉGICO COM AÇÕES DA CODEVASF</w:t>
      </w:r>
    </w:p>
    <w:p>
      <w:pPr>
        <w:rPr>
          <w:highlight w:val="none"/>
        </w:rPr>
      </w:pPr>
    </w:p>
    <w:p>
      <w:pPr>
        <w:rPr>
          <w:highlight w:val="none"/>
        </w:rPr>
      </w:pPr>
      <w:r>
        <w:rPr>
          <w:highlight w:val="none"/>
        </w:rPr>
        <w:t xml:space="preserve">Dentre as áreas técnicas da empresa, a Gerência Regional de Revitalização de Bacias Hidrográficas da 2ª Superintendência Regional da Codevasf, por meio da Unidade Regional de Empreendimentos Socioambientais – 2ª/GRR/USA, tem como competências executar diretamente, mediante contratação de terceiros ou parceria com outras instituições públicas, o levantamento de dados, realização de estudos básicos e de pré-viabilidade e a execução e fiscalização de ações e projetos voltados à revitalização das Bacias. Uma das ações de revitalização é a implantação de infraestrutura de saneamento básico, </w:t>
      </w:r>
      <w:r>
        <w:rPr>
          <w:rFonts w:hint="default"/>
          <w:highlight w:val="none"/>
          <w:lang w:val="pt-BR"/>
        </w:rPr>
        <w:t xml:space="preserve">que compreende obras de </w:t>
      </w:r>
      <w:r>
        <w:rPr>
          <w:highlight w:val="none"/>
        </w:rPr>
        <w:t xml:space="preserve">esgotamento sanitário, </w:t>
      </w:r>
      <w:r>
        <w:rPr>
          <w:rFonts w:hint="default"/>
          <w:highlight w:val="none"/>
          <w:lang w:val="pt-BR"/>
        </w:rPr>
        <w:t xml:space="preserve">de </w:t>
      </w:r>
      <w:r>
        <w:rPr>
          <w:highlight w:val="none"/>
        </w:rPr>
        <w:t>manejo de resíduos sólidos</w:t>
      </w:r>
      <w:r>
        <w:rPr>
          <w:rFonts w:hint="default"/>
          <w:highlight w:val="none"/>
          <w:lang w:val="pt-BR"/>
        </w:rPr>
        <w:t xml:space="preserve">, de </w:t>
      </w:r>
      <w:r>
        <w:rPr>
          <w:highlight w:val="none"/>
        </w:rPr>
        <w:t>manejo de águas pluviais</w:t>
      </w:r>
      <w:r>
        <w:rPr>
          <w:rFonts w:hint="default"/>
          <w:highlight w:val="none"/>
          <w:lang w:val="pt-BR"/>
        </w:rPr>
        <w:t xml:space="preserve"> e de</w:t>
      </w:r>
      <w:r>
        <w:rPr>
          <w:highlight w:val="none"/>
        </w:rPr>
        <w:t xml:space="preserve"> abastecimento de água.</w:t>
      </w:r>
    </w:p>
    <w:p>
      <w:pPr>
        <w:rPr>
          <w:highlight w:val="none"/>
        </w:rPr>
      </w:pPr>
    </w:p>
    <w:p>
      <w:pPr>
        <w:jc w:val="both"/>
        <w:rPr>
          <w:highlight w:val="none"/>
        </w:rPr>
      </w:pPr>
      <w:r>
        <w:rPr>
          <w:rFonts w:hint="default"/>
          <w:highlight w:val="none"/>
        </w:rPr>
        <w:t>A implantação das Cisternas para</w:t>
      </w:r>
      <w:r>
        <w:rPr>
          <w:rFonts w:hint="default"/>
          <w:highlight w:val="none"/>
          <w:lang w:val="pt-BR"/>
        </w:rPr>
        <w:t xml:space="preserve"> </w:t>
      </w:r>
      <w:r>
        <w:rPr>
          <w:rFonts w:hint="default"/>
          <w:highlight w:val="none"/>
        </w:rPr>
        <w:t xml:space="preserve">captação da água de chuva, visa permitir o acesso </w:t>
      </w:r>
      <w:r>
        <w:rPr>
          <w:rFonts w:hint="default"/>
          <w:highlight w:val="none"/>
          <w:lang w:val="pt-BR"/>
        </w:rPr>
        <w:t>à</w:t>
      </w:r>
      <w:r>
        <w:rPr>
          <w:rFonts w:hint="default"/>
          <w:highlight w:val="none"/>
        </w:rPr>
        <w:t xml:space="preserve"> água </w:t>
      </w:r>
      <w:r>
        <w:rPr>
          <w:rFonts w:hint="default"/>
          <w:highlight w:val="none"/>
          <w:lang w:val="pt-BR"/>
        </w:rPr>
        <w:t>para</w:t>
      </w:r>
      <w:r>
        <w:rPr>
          <w:rFonts w:hint="default"/>
          <w:highlight w:val="none"/>
        </w:rPr>
        <w:t xml:space="preserve"> </w:t>
      </w:r>
      <w:r>
        <w:rPr>
          <w:rFonts w:hint="default"/>
          <w:highlight w:val="none"/>
          <w:lang w:val="pt-BR"/>
        </w:rPr>
        <w:t xml:space="preserve">população residente </w:t>
      </w:r>
      <w:r>
        <w:rPr>
          <w:rFonts w:hint="default"/>
          <w:highlight w:val="none"/>
        </w:rPr>
        <w:t>e</w:t>
      </w:r>
      <w:r>
        <w:rPr>
          <w:rFonts w:hint="default"/>
          <w:highlight w:val="none"/>
          <w:lang w:val="pt-BR"/>
        </w:rPr>
        <w:t xml:space="preserve">m </w:t>
      </w:r>
      <w:r>
        <w:rPr>
          <w:rFonts w:hint="default"/>
          <w:highlight w:val="none"/>
        </w:rPr>
        <w:t>comunidades rurais difusas, garantindo aos mesmos melhores condições de saúde</w:t>
      </w:r>
      <w:r>
        <w:rPr>
          <w:rFonts w:hint="default"/>
          <w:highlight w:val="none"/>
          <w:lang w:val="pt-BR"/>
        </w:rPr>
        <w:t xml:space="preserve"> </w:t>
      </w:r>
      <w:r>
        <w:rPr>
          <w:rFonts w:hint="default"/>
          <w:highlight w:val="none"/>
        </w:rPr>
        <w:t>e dignidade, o que está alinhado ao Mapa Estratégico da Codevasf, em especial ao</w:t>
      </w:r>
      <w:r>
        <w:rPr>
          <w:rFonts w:hint="default"/>
          <w:highlight w:val="none"/>
          <w:lang w:val="pt-BR"/>
        </w:rPr>
        <w:t xml:space="preserve"> </w:t>
      </w:r>
      <w:r>
        <w:rPr>
          <w:rFonts w:hint="default"/>
          <w:highlight w:val="none"/>
        </w:rPr>
        <w:t>Processo de Negócio Segurança Hídrica, objetivo específico: Ampliar a Oferta de</w:t>
      </w:r>
      <w:r>
        <w:rPr>
          <w:rFonts w:hint="default"/>
          <w:highlight w:val="none"/>
          <w:lang w:val="pt-BR"/>
        </w:rPr>
        <w:t xml:space="preserve"> </w:t>
      </w:r>
      <w:r>
        <w:rPr>
          <w:rFonts w:hint="default"/>
          <w:highlight w:val="none"/>
        </w:rPr>
        <w:t>Água para Usos Múltiplos, visando Melhorar os Indicadores Sociais, Econômicos e</w:t>
      </w:r>
      <w:r>
        <w:rPr>
          <w:rFonts w:hint="default"/>
          <w:highlight w:val="none"/>
          <w:lang w:val="pt-BR"/>
        </w:rPr>
        <w:t xml:space="preserve"> </w:t>
      </w:r>
      <w:r>
        <w:rPr>
          <w:rFonts w:hint="default"/>
          <w:highlight w:val="none"/>
        </w:rPr>
        <w:t>Ambientais da Área de Atuação e Contribuir para a Redução das Desigualdades</w:t>
      </w:r>
      <w:r>
        <w:rPr>
          <w:rFonts w:hint="default"/>
          <w:highlight w:val="none"/>
          <w:lang w:val="pt-BR"/>
        </w:rPr>
        <w:t xml:space="preserve"> </w:t>
      </w:r>
      <w:r>
        <w:rPr>
          <w:rFonts w:hint="default"/>
          <w:highlight w:val="none"/>
        </w:rPr>
        <w:t>Intra-regionais.</w:t>
      </w:r>
    </w:p>
    <w:p>
      <w:pPr>
        <w:rPr>
          <w:highlight w:val="none"/>
        </w:rPr>
      </w:pPr>
    </w:p>
    <w:p>
      <w:pPr>
        <w:rPr>
          <w:highlight w:val="none"/>
        </w:rPr>
      </w:pPr>
    </w:p>
    <w:p>
      <w:pPr>
        <w:pStyle w:val="2"/>
        <w:spacing w:after="0"/>
        <w:ind w:left="0"/>
        <w:rPr>
          <w:highlight w:val="none"/>
        </w:rPr>
      </w:pPr>
      <w:r>
        <w:rPr>
          <w:highlight w:val="none"/>
        </w:rPr>
        <w:t>DEFINIÇÕES</w:t>
      </w:r>
    </w:p>
    <w:p>
      <w:pPr>
        <w:rPr>
          <w:highlight w:val="none"/>
        </w:rPr>
      </w:pPr>
    </w:p>
    <w:p>
      <w:pPr>
        <w:pStyle w:val="3"/>
        <w:bidi w:val="0"/>
        <w:ind w:left="576" w:leftChars="0" w:hanging="576" w:firstLineChars="0"/>
        <w:rPr>
          <w:highlight w:val="none"/>
        </w:rPr>
      </w:pPr>
      <w:r>
        <w:rPr>
          <w:rFonts w:hint="default"/>
          <w:highlight w:val="none"/>
          <w:lang w:val="pt-BR"/>
        </w:rPr>
        <w:t>Pregão Eletrônico.</w:t>
      </w:r>
    </w:p>
    <w:p>
      <w:pPr>
        <w:pStyle w:val="3"/>
        <w:bidi w:val="0"/>
        <w:ind w:left="576" w:leftChars="0" w:hanging="576" w:firstLineChars="0"/>
        <w:rPr>
          <w:rFonts w:hint="default"/>
          <w:highlight w:val="none"/>
          <w:lang w:val="pt-BR"/>
        </w:rPr>
      </w:pPr>
      <w:r>
        <w:rPr>
          <w:rFonts w:hint="default"/>
          <w:highlight w:val="none"/>
          <w:lang w:val="pt-BR"/>
        </w:rPr>
        <w:t>SRP - Sistema de Registro de Preço</w:t>
      </w:r>
      <w:r>
        <w:rPr>
          <w:highlight w:val="none"/>
        </w:rPr>
        <w:t>.</w:t>
      </w:r>
    </w:p>
    <w:p>
      <w:pPr>
        <w:pStyle w:val="3"/>
        <w:bidi w:val="0"/>
        <w:ind w:left="576" w:leftChars="0" w:hanging="576" w:firstLineChars="0"/>
        <w:rPr>
          <w:rFonts w:hint="default"/>
          <w:highlight w:val="none"/>
          <w:lang w:val="pt-BR"/>
        </w:rPr>
      </w:pPr>
      <w:r>
        <w:rPr>
          <w:rFonts w:hint="default"/>
          <w:highlight w:val="none"/>
          <w:lang w:val="pt-BR"/>
        </w:rPr>
        <w:t>Modo de disputa aberto.</w:t>
      </w:r>
    </w:p>
    <w:p>
      <w:pPr>
        <w:pStyle w:val="3"/>
        <w:bidi w:val="0"/>
        <w:ind w:left="576" w:leftChars="0" w:hanging="576" w:firstLineChars="0"/>
        <w:rPr>
          <w:highlight w:val="none"/>
        </w:rPr>
      </w:pPr>
      <w:r>
        <w:rPr>
          <w:rFonts w:hint="default"/>
          <w:highlight w:val="none"/>
        </w:rPr>
        <w:t>Divulgação do valor máximo</w:t>
      </w:r>
      <w:r>
        <w:rPr>
          <w:highlight w:val="none"/>
        </w:rPr>
        <w:t>.</w:t>
      </w:r>
    </w:p>
    <w:p>
      <w:pPr>
        <w:pStyle w:val="3"/>
        <w:bidi w:val="0"/>
        <w:ind w:left="576" w:leftChars="0" w:hanging="576" w:firstLineChars="0"/>
        <w:rPr>
          <w:highlight w:val="none"/>
        </w:rPr>
      </w:pPr>
      <w:r>
        <w:rPr>
          <w:highlight w:val="none"/>
        </w:rPr>
        <w:t>Critério de Julgamento</w:t>
      </w:r>
      <w:r>
        <w:rPr>
          <w:rFonts w:hint="default"/>
          <w:highlight w:val="none"/>
          <w:lang w:val="pt-BR"/>
        </w:rPr>
        <w:t xml:space="preserve"> menor preço</w:t>
      </w:r>
    </w:p>
    <w:p>
      <w:pPr>
        <w:pStyle w:val="3"/>
        <w:bidi w:val="0"/>
        <w:ind w:left="576" w:leftChars="0" w:hanging="576" w:firstLineChars="0"/>
        <w:rPr>
          <w:highlight w:val="none"/>
        </w:rPr>
      </w:pPr>
      <w:r>
        <w:rPr>
          <w:rFonts w:hint="default"/>
          <w:highlight w:val="none"/>
        </w:rPr>
        <w:t>Órgão Gerenciador: Codevasf 2ª/SR</w:t>
      </w:r>
    </w:p>
    <w:p>
      <w:pPr>
        <w:rPr>
          <w:highlight w:val="none"/>
        </w:rPr>
      </w:pPr>
    </w:p>
    <w:p>
      <w:pPr>
        <w:rPr>
          <w:highlight w:val="none"/>
        </w:rPr>
      </w:pPr>
    </w:p>
    <w:p>
      <w:pPr>
        <w:pStyle w:val="2"/>
        <w:spacing w:after="0"/>
        <w:ind w:left="0"/>
        <w:rPr>
          <w:highlight w:val="none"/>
        </w:rPr>
      </w:pPr>
      <w:r>
        <w:rPr>
          <w:highlight w:val="none"/>
        </w:rPr>
        <w:t>REQUISITOS DA CONTRATAÇÃO</w:t>
      </w:r>
    </w:p>
    <w:p>
      <w:pPr>
        <w:rPr>
          <w:highlight w:val="none"/>
        </w:rPr>
      </w:pPr>
    </w:p>
    <w:p>
      <w:pPr>
        <w:rPr>
          <w:highlight w:val="none"/>
        </w:rPr>
      </w:pPr>
      <w:r>
        <w:rPr>
          <w:highlight w:val="none"/>
        </w:rPr>
        <w:t>Os requisitos a serem adotados devem atender critérios mínimos de qualidade, bem como aspectos de sustentabilidade, de modo a possibilitar a seleção da proposta mais vantajosa e mediante ampla competição.</w:t>
      </w:r>
    </w:p>
    <w:p>
      <w:pPr>
        <w:rPr>
          <w:highlight w:val="none"/>
        </w:rPr>
      </w:pPr>
    </w:p>
    <w:p>
      <w:pPr>
        <w:rPr>
          <w:highlight w:val="none"/>
        </w:rPr>
      </w:pPr>
      <w:r>
        <w:rPr>
          <w:highlight w:val="none"/>
        </w:rPr>
        <w:t>6.1 Nível de qualidade</w:t>
      </w:r>
    </w:p>
    <w:p>
      <w:pPr>
        <w:rPr>
          <w:highlight w:val="none"/>
        </w:rPr>
      </w:pPr>
      <w:r>
        <w:rPr>
          <w:highlight w:val="none"/>
        </w:rPr>
        <w:t xml:space="preserve">Atendimento às normativas e especificações técnicas relativas </w:t>
      </w:r>
      <w:r>
        <w:rPr>
          <w:highlight w:val="none"/>
        </w:rPr>
        <w:t xml:space="preserve">à </w:t>
      </w:r>
      <w:r>
        <w:rPr>
          <w:rFonts w:hint="default"/>
          <w:highlight w:val="none"/>
          <w:lang w:val="pt-BR"/>
        </w:rPr>
        <w:t>fabricação e instalação</w:t>
      </w:r>
      <w:r>
        <w:rPr>
          <w:rFonts w:hint="default"/>
          <w:highlight w:val="none"/>
          <w:lang w:val="pt-BR"/>
        </w:rPr>
        <w:t xml:space="preserve"> de</w:t>
      </w:r>
      <w:r>
        <w:rPr>
          <w:highlight w:val="none"/>
        </w:rPr>
        <w:t xml:space="preserve"> </w:t>
      </w:r>
      <w:r>
        <w:rPr>
          <w:rFonts w:hint="default"/>
          <w:highlight w:val="none"/>
          <w:lang w:val="pt-BR"/>
        </w:rPr>
        <w:t>Cisternas</w:t>
      </w:r>
      <w:r>
        <w:rPr>
          <w:highlight w:val="none"/>
        </w:rPr>
        <w:t>, de amplo conhecimento do mercado e a serem indicadas nos Termos de Referência/Projeto Básico.</w:t>
      </w:r>
    </w:p>
    <w:p>
      <w:pPr>
        <w:rPr>
          <w:highlight w:val="none"/>
        </w:rPr>
      </w:pPr>
    </w:p>
    <w:p>
      <w:pPr>
        <w:rPr>
          <w:highlight w:val="none"/>
        </w:rPr>
      </w:pPr>
      <w:r>
        <w:rPr>
          <w:highlight w:val="none"/>
        </w:rPr>
        <w:t>6.2 Sustentabilidade</w:t>
      </w:r>
    </w:p>
    <w:p>
      <w:pPr>
        <w:rPr>
          <w:highlight w:val="none"/>
        </w:rPr>
      </w:pPr>
      <w:r>
        <w:rPr>
          <w:highlight w:val="none"/>
        </w:rPr>
        <w:t>Na execução dos serviços será exigido o pleno atendimento da Instrução Normativa SLTI/MP nº 001/2010.</w:t>
      </w:r>
    </w:p>
    <w:p>
      <w:pPr>
        <w:rPr>
          <w:highlight w:val="none"/>
        </w:rPr>
      </w:pPr>
    </w:p>
    <w:p>
      <w:pPr>
        <w:rPr>
          <w:highlight w:val="none"/>
        </w:rPr>
      </w:pPr>
      <w:r>
        <w:rPr>
          <w:highlight w:val="none"/>
        </w:rPr>
        <w:t>6.3 Critérios de seleção</w:t>
      </w:r>
    </w:p>
    <w:p>
      <w:pPr>
        <w:rPr>
          <w:highlight w:val="none"/>
        </w:rPr>
      </w:pPr>
      <w:r>
        <w:rPr>
          <w:highlight w:val="none"/>
        </w:rPr>
        <w:t>-Qualificação Técnica: baseados na capacidade operacional da licitante, relativo a experiências similares em contratos anteriores para a comprovação de execução dos serviços de maior relevância, a serem identificados nos Termos de Referência/Projeto Básico;</w:t>
      </w:r>
    </w:p>
    <w:p>
      <w:pPr>
        <w:rPr>
          <w:highlight w:val="none"/>
        </w:rPr>
      </w:pPr>
      <w:r>
        <w:rPr>
          <w:highlight w:val="none"/>
        </w:rPr>
        <w:t>-Qualificação econômico-financeira: com base no capital social da licitante,correspondente a 10% do valor orçado pela Codevasf e índices de liquidez;</w:t>
      </w:r>
    </w:p>
    <w:p>
      <w:pPr>
        <w:rPr>
          <w:highlight w:val="none"/>
        </w:rPr>
      </w:pPr>
      <w:r>
        <w:rPr>
          <w:highlight w:val="none"/>
        </w:rPr>
        <w:t>-Aceitabilidade de preço unitário: menor ou igual ao valor orçado pela Codevasf;</w:t>
      </w:r>
    </w:p>
    <w:p>
      <w:pPr>
        <w:rPr>
          <w:highlight w:val="none"/>
        </w:rPr>
      </w:pPr>
      <w:r>
        <w:rPr>
          <w:highlight w:val="none"/>
        </w:rPr>
        <w:t xml:space="preserve">-Critério de julgamento de propostas:  </w:t>
      </w:r>
      <w:r>
        <w:rPr>
          <w:rFonts w:hint="default"/>
          <w:highlight w:val="none"/>
          <w:lang w:val="pt-BR"/>
        </w:rPr>
        <w:t>menor preço</w:t>
      </w:r>
      <w:r>
        <w:rPr>
          <w:highlight w:val="none"/>
        </w:rPr>
        <w:t>;</w:t>
      </w:r>
    </w:p>
    <w:p>
      <w:pPr>
        <w:rPr>
          <w:highlight w:val="none"/>
        </w:rPr>
      </w:pPr>
    </w:p>
    <w:p>
      <w:pPr>
        <w:rPr>
          <w:highlight w:val="none"/>
        </w:rPr>
      </w:pPr>
    </w:p>
    <w:p>
      <w:pPr>
        <w:pStyle w:val="2"/>
        <w:spacing w:after="0"/>
        <w:ind w:left="0"/>
        <w:rPr>
          <w:highlight w:val="none"/>
        </w:rPr>
      </w:pPr>
      <w:r>
        <w:rPr>
          <w:highlight w:val="none"/>
        </w:rPr>
        <w:t>RELAÇÃO ENTRE DEMANDA PREVISTA E QUANTIDADE</w:t>
      </w:r>
    </w:p>
    <w:p>
      <w:pPr>
        <w:rPr>
          <w:highlight w:val="none"/>
        </w:rPr>
      </w:pPr>
    </w:p>
    <w:p>
      <w:pPr>
        <w:jc w:val="both"/>
        <w:rPr>
          <w:rFonts w:hint="default"/>
          <w:highlight w:val="none"/>
        </w:rPr>
      </w:pPr>
      <w:r>
        <w:rPr>
          <w:rFonts w:hint="default"/>
          <w:highlight w:val="none"/>
        </w:rPr>
        <w:t>A quantidade estimada para a presente contratação foi definida com base na</w:t>
      </w:r>
      <w:r>
        <w:rPr>
          <w:rFonts w:hint="default"/>
          <w:highlight w:val="none"/>
          <w:lang w:val="pt-BR"/>
        </w:rPr>
        <w:t xml:space="preserve"> </w:t>
      </w:r>
      <w:r>
        <w:rPr>
          <w:rFonts w:hint="default"/>
          <w:highlight w:val="none"/>
        </w:rPr>
        <w:t>experiência da Codevasf na implantação do Programa Água para Todos, entre os</w:t>
      </w:r>
      <w:r>
        <w:rPr>
          <w:rFonts w:hint="default"/>
          <w:highlight w:val="none"/>
          <w:lang w:val="pt-BR"/>
        </w:rPr>
        <w:t xml:space="preserve"> </w:t>
      </w:r>
      <w:r>
        <w:rPr>
          <w:rFonts w:hint="default"/>
          <w:highlight w:val="none"/>
        </w:rPr>
        <w:t>anos de 2011 a 2018, com a implantação de aproximadamente 195 mil cisternas e</w:t>
      </w:r>
      <w:r>
        <w:rPr>
          <w:rFonts w:hint="default"/>
          <w:highlight w:val="none"/>
          <w:lang w:val="pt-BR"/>
        </w:rPr>
        <w:t xml:space="preserve"> </w:t>
      </w:r>
      <w:r>
        <w:rPr>
          <w:rFonts w:hint="default"/>
          <w:highlight w:val="none"/>
        </w:rPr>
        <w:t>beneficiando uma população de mais 900 mil pessoas na antiga área de atuação</w:t>
      </w:r>
      <w:r>
        <w:rPr>
          <w:rFonts w:hint="default"/>
          <w:highlight w:val="none"/>
          <w:lang w:val="pt-BR"/>
        </w:rPr>
        <w:t xml:space="preserve"> </w:t>
      </w:r>
      <w:r>
        <w:rPr>
          <w:rFonts w:hint="default"/>
          <w:highlight w:val="none"/>
        </w:rPr>
        <w:t>da Codevasf. Não obstante, foi verificado ainda uma demanda reprimida superior a</w:t>
      </w:r>
      <w:r>
        <w:rPr>
          <w:rFonts w:hint="default"/>
          <w:highlight w:val="none"/>
          <w:lang w:val="pt-BR"/>
        </w:rPr>
        <w:t xml:space="preserve"> </w:t>
      </w:r>
      <w:r>
        <w:rPr>
          <w:rFonts w:hint="default"/>
          <w:highlight w:val="none"/>
        </w:rPr>
        <w:t>164 mil famílias nessa área de atuação</w:t>
      </w:r>
      <w:r>
        <w:rPr>
          <w:rFonts w:hint="default"/>
          <w:highlight w:val="none"/>
          <w:lang w:val="pt-BR"/>
        </w:rPr>
        <w:t>.</w:t>
      </w:r>
      <w:r>
        <w:rPr>
          <w:rFonts w:hint="default"/>
          <w:highlight w:val="none"/>
        </w:rPr>
        <w:t xml:space="preserve"> </w:t>
      </w:r>
      <w:r>
        <w:rPr>
          <w:rFonts w:hint="default"/>
          <w:highlight w:val="none"/>
          <w:lang w:val="pt-BR"/>
        </w:rPr>
        <w:t xml:space="preserve">Com o objetivo de contribuir com o atendimento desta demanda, </w:t>
      </w:r>
      <w:r>
        <w:rPr>
          <w:rFonts w:hint="default"/>
          <w:highlight w:val="none"/>
        </w:rPr>
        <w:t>pretende</w:t>
      </w:r>
      <w:r>
        <w:rPr>
          <w:rFonts w:hint="default"/>
          <w:highlight w:val="none"/>
          <w:lang w:val="pt-BR"/>
        </w:rPr>
        <w:t>-se,</w:t>
      </w:r>
      <w:r>
        <w:rPr>
          <w:rFonts w:hint="default"/>
          <w:highlight w:val="none"/>
        </w:rPr>
        <w:t xml:space="preserve"> </w:t>
      </w:r>
      <w:r>
        <w:rPr>
          <w:rFonts w:hint="default"/>
          <w:highlight w:val="none"/>
          <w:lang w:val="pt-BR"/>
        </w:rPr>
        <w:t xml:space="preserve">com a </w:t>
      </w:r>
      <w:r>
        <w:rPr>
          <w:rFonts w:hint="default"/>
          <w:highlight w:val="none"/>
        </w:rPr>
        <w:t>presente contratação</w:t>
      </w:r>
      <w:r>
        <w:rPr>
          <w:rFonts w:hint="default"/>
          <w:highlight w:val="none"/>
          <w:lang w:val="pt-BR"/>
        </w:rPr>
        <w:t>, beneficiar</w:t>
      </w:r>
      <w:r>
        <w:rPr>
          <w:rFonts w:hint="default"/>
          <w:highlight w:val="none"/>
        </w:rPr>
        <w:t xml:space="preserve">  aproximadamente</w:t>
      </w:r>
      <w:r>
        <w:rPr>
          <w:rFonts w:hint="default"/>
          <w:highlight w:val="none"/>
          <w:lang w:val="pt-BR"/>
        </w:rPr>
        <w:t xml:space="preserve"> mais</w:t>
      </w:r>
      <w:r>
        <w:rPr>
          <w:rFonts w:hint="default"/>
          <w:highlight w:val="none"/>
        </w:rPr>
        <w:t xml:space="preserve"> 1.5</w:t>
      </w:r>
      <w:r>
        <w:rPr>
          <w:rFonts w:hint="default"/>
          <w:highlight w:val="none"/>
          <w:lang w:val="pt-BR"/>
        </w:rPr>
        <w:t>90</w:t>
      </w:r>
      <w:r>
        <w:rPr>
          <w:rFonts w:hint="default"/>
          <w:highlight w:val="none"/>
        </w:rPr>
        <w:t xml:space="preserve"> </w:t>
      </w:r>
      <w:r>
        <w:rPr>
          <w:rFonts w:hint="default"/>
          <w:highlight w:val="none"/>
          <w:lang w:val="pt-BR"/>
        </w:rPr>
        <w:t>famílias</w:t>
      </w:r>
      <w:r>
        <w:rPr>
          <w:rFonts w:hint="default"/>
          <w:highlight w:val="none"/>
        </w:rPr>
        <w:t xml:space="preserve"> no estado da Bahia</w:t>
      </w:r>
      <w:r>
        <w:rPr>
          <w:rFonts w:hint="default"/>
          <w:highlight w:val="none"/>
          <w:lang w:val="pt-BR"/>
        </w:rPr>
        <w:t xml:space="preserve">, </w:t>
      </w:r>
      <w:r>
        <w:rPr>
          <w:rFonts w:hint="default"/>
          <w:highlight w:val="none"/>
        </w:rPr>
        <w:t>na área de atuação da 2ª Superintendência Regional.</w:t>
      </w:r>
    </w:p>
    <w:p>
      <w:pPr>
        <w:jc w:val="both"/>
        <w:rPr>
          <w:rFonts w:hint="default"/>
          <w:highlight w:val="none"/>
        </w:rPr>
      </w:pPr>
    </w:p>
    <w:p>
      <w:pPr>
        <w:jc w:val="both"/>
        <w:rPr>
          <w:rFonts w:hint="default"/>
          <w:highlight w:val="none"/>
        </w:rPr>
      </w:pPr>
    </w:p>
    <w:p>
      <w:pPr>
        <w:pStyle w:val="2"/>
        <w:spacing w:after="0"/>
        <w:ind w:left="0"/>
        <w:rPr>
          <w:highlight w:val="none"/>
        </w:rPr>
      </w:pPr>
      <w:r>
        <w:rPr>
          <w:highlight w:val="none"/>
        </w:rPr>
        <w:t>LEVANTAMENTO DE PREÇOS</w:t>
      </w:r>
    </w:p>
    <w:p>
      <w:pPr>
        <w:rPr>
          <w:highlight w:val="none"/>
        </w:rPr>
      </w:pPr>
    </w:p>
    <w:p>
      <w:pPr>
        <w:rPr>
          <w:rFonts w:hint="default"/>
          <w:highlight w:val="none"/>
        </w:rPr>
      </w:pPr>
      <w:r>
        <w:rPr>
          <w:rFonts w:hint="default"/>
          <w:highlight w:val="none"/>
        </w:rPr>
        <w:t>A captação da água de chuva em grandes volumes pode ser realizada por meio</w:t>
      </w:r>
      <w:r>
        <w:rPr>
          <w:rFonts w:hint="default"/>
          <w:highlight w:val="none"/>
          <w:lang w:val="pt-BR"/>
        </w:rPr>
        <w:t xml:space="preserve"> </w:t>
      </w:r>
      <w:r>
        <w:rPr>
          <w:rFonts w:hint="default"/>
          <w:highlight w:val="none"/>
        </w:rPr>
        <w:t xml:space="preserve">de cisternas </w:t>
      </w:r>
      <w:r>
        <w:rPr>
          <w:rFonts w:hint="default"/>
          <w:highlight w:val="none"/>
          <w:lang w:val="pt-BR"/>
        </w:rPr>
        <w:t>cimentíceas (</w:t>
      </w:r>
      <w:r>
        <w:rPr>
          <w:rFonts w:hint="default"/>
          <w:highlight w:val="none"/>
        </w:rPr>
        <w:t>de placas</w:t>
      </w:r>
      <w:r>
        <w:rPr>
          <w:rFonts w:hint="default"/>
          <w:highlight w:val="none"/>
          <w:lang w:val="pt-BR"/>
        </w:rPr>
        <w:t xml:space="preserve"> ou com tela aramada)</w:t>
      </w:r>
      <w:r>
        <w:rPr>
          <w:rFonts w:hint="default"/>
          <w:highlight w:val="none"/>
        </w:rPr>
        <w:t xml:space="preserve"> ou cisternas plásticas. A primeira, apesar de um custo</w:t>
      </w:r>
      <w:r>
        <w:rPr>
          <w:rFonts w:hint="default"/>
          <w:highlight w:val="none"/>
          <w:lang w:val="pt-BR"/>
        </w:rPr>
        <w:t xml:space="preserve"> </w:t>
      </w:r>
      <w:r>
        <w:rPr>
          <w:rFonts w:hint="default"/>
          <w:highlight w:val="none"/>
        </w:rPr>
        <w:t xml:space="preserve">unitário mais baixo, se mostra menos eficiente por demandar a construção </w:t>
      </w:r>
      <w:r>
        <w:rPr>
          <w:rFonts w:hint="default"/>
          <w:i/>
          <w:iCs/>
          <w:highlight w:val="none"/>
        </w:rPr>
        <w:t>in loco</w:t>
      </w:r>
      <w:r>
        <w:rPr>
          <w:rFonts w:hint="default"/>
          <w:highlight w:val="none"/>
        </w:rPr>
        <w:t xml:space="preserve"> da</w:t>
      </w:r>
      <w:r>
        <w:rPr>
          <w:rFonts w:hint="default"/>
          <w:highlight w:val="none"/>
          <w:lang w:val="pt-BR"/>
        </w:rPr>
        <w:t xml:space="preserve"> </w:t>
      </w:r>
      <w:r>
        <w:rPr>
          <w:rFonts w:hint="default"/>
          <w:highlight w:val="none"/>
        </w:rPr>
        <w:t>mesma e não garantir total estanqueidade, além de apresentar risco de</w:t>
      </w:r>
      <w:r>
        <w:rPr>
          <w:rFonts w:hint="default"/>
          <w:highlight w:val="none"/>
          <w:lang w:val="pt-BR"/>
        </w:rPr>
        <w:t xml:space="preserve"> </w:t>
      </w:r>
      <w:r>
        <w:rPr>
          <w:rFonts w:hint="default"/>
          <w:highlight w:val="none"/>
        </w:rPr>
        <w:t>contaminação por fungos e bactérias.</w:t>
      </w:r>
    </w:p>
    <w:p>
      <w:pPr>
        <w:rPr>
          <w:rFonts w:hint="default"/>
          <w:highlight w:val="none"/>
        </w:rPr>
      </w:pPr>
      <w:r>
        <w:rPr>
          <w:rFonts w:hint="default"/>
          <w:highlight w:val="none"/>
        </w:rPr>
        <w:t>As cisternas plásticas, por outro lado, contam com diferentes fabricantes e</w:t>
      </w:r>
      <w:r>
        <w:rPr>
          <w:rFonts w:hint="default"/>
          <w:highlight w:val="none"/>
          <w:lang w:val="pt-BR"/>
        </w:rPr>
        <w:t xml:space="preserve"> </w:t>
      </w:r>
      <w:r>
        <w:rPr>
          <w:rFonts w:hint="default"/>
          <w:highlight w:val="none"/>
        </w:rPr>
        <w:t>fornecedores, o que garante ampla pesquisa de preços e economicidade à licitação.</w:t>
      </w:r>
    </w:p>
    <w:p>
      <w:pPr>
        <w:rPr>
          <w:rFonts w:hint="default"/>
          <w:highlight w:val="none"/>
        </w:rPr>
      </w:pPr>
      <w:r>
        <w:rPr>
          <w:rFonts w:hint="default"/>
          <w:highlight w:val="none"/>
        </w:rPr>
        <w:t>O valor base do certame é valor o máximo aceitável, conforme o disposto no</w:t>
      </w:r>
      <w:r>
        <w:rPr>
          <w:rFonts w:hint="default"/>
          <w:highlight w:val="none"/>
          <w:lang w:val="pt-BR"/>
        </w:rPr>
        <w:t xml:space="preserve"> </w:t>
      </w:r>
      <w:r>
        <w:rPr>
          <w:rFonts w:hint="default"/>
          <w:highlight w:val="none"/>
        </w:rPr>
        <w:t>Decreto nº 10.024/2019.</w:t>
      </w:r>
    </w:p>
    <w:p>
      <w:pPr>
        <w:rPr>
          <w:rFonts w:hint="default"/>
          <w:highlight w:val="none"/>
        </w:rPr>
      </w:pPr>
    </w:p>
    <w:p>
      <w:pPr>
        <w:rPr>
          <w:rFonts w:hint="default"/>
          <w:highlight w:val="none"/>
        </w:rPr>
      </w:pPr>
    </w:p>
    <w:p>
      <w:pPr>
        <w:pStyle w:val="2"/>
        <w:spacing w:after="0"/>
        <w:ind w:left="0"/>
        <w:rPr>
          <w:highlight w:val="none"/>
        </w:rPr>
      </w:pPr>
      <w:r>
        <w:rPr>
          <w:rFonts w:hint="default"/>
          <w:highlight w:val="none"/>
        </w:rPr>
        <w:t>JUSTIFICATIVA DA ESCOLHA DA SOLUÇÃO A CONTRATAR</w:t>
      </w:r>
    </w:p>
    <w:p>
      <w:pPr>
        <w:rPr>
          <w:rFonts w:hint="default"/>
          <w:highlight w:val="none"/>
        </w:rPr>
      </w:pPr>
    </w:p>
    <w:p>
      <w:pPr>
        <w:rPr>
          <w:rFonts w:hint="default"/>
          <w:highlight w:val="none"/>
          <w:lang w:val="pt-BR"/>
        </w:rPr>
      </w:pPr>
      <w:r>
        <w:rPr>
          <w:rFonts w:hint="default"/>
          <w:highlight w:val="none"/>
        </w:rPr>
        <w:t>A Cisterna plástica é um produto pré-moldado, estanque, atóxico e com</w:t>
      </w:r>
      <w:r>
        <w:rPr>
          <w:rFonts w:hint="default"/>
          <w:highlight w:val="none"/>
          <w:lang w:val="pt-BR"/>
        </w:rPr>
        <w:t xml:space="preserve"> </w:t>
      </w:r>
      <w:r>
        <w:rPr>
          <w:rFonts w:hint="default"/>
          <w:highlight w:val="none"/>
        </w:rPr>
        <w:t>especificações técnicas padronizadas e de fácil manejo</w:t>
      </w:r>
      <w:r>
        <w:rPr>
          <w:rFonts w:hint="default"/>
          <w:highlight w:val="none"/>
          <w:lang w:val="pt-BR"/>
        </w:rPr>
        <w:t>,</w:t>
      </w:r>
      <w:r>
        <w:rPr>
          <w:rFonts w:hint="default"/>
          <w:highlight w:val="none"/>
        </w:rPr>
        <w:t xml:space="preserve"> armazenamento,</w:t>
      </w:r>
      <w:r>
        <w:rPr>
          <w:rFonts w:hint="default"/>
          <w:highlight w:val="none"/>
          <w:lang w:val="pt-BR"/>
        </w:rPr>
        <w:t xml:space="preserve"> transporte e instalação, o que garante eficiência e eficácia ao atingimento do objetivo desta contratação.</w:t>
      </w:r>
    </w:p>
    <w:p>
      <w:pPr>
        <w:pStyle w:val="2"/>
        <w:numPr>
          <w:numId w:val="0"/>
        </w:numPr>
        <w:spacing w:after="0"/>
        <w:ind w:left="-431" w:leftChars="0"/>
        <w:rPr>
          <w:highlight w:val="none"/>
        </w:rPr>
      </w:pPr>
    </w:p>
    <w:p/>
    <w:p>
      <w:pPr>
        <w:pStyle w:val="2"/>
        <w:spacing w:after="0"/>
        <w:ind w:left="0"/>
        <w:rPr>
          <w:highlight w:val="none"/>
        </w:rPr>
      </w:pPr>
      <w:r>
        <w:rPr>
          <w:highlight w:val="none"/>
        </w:rPr>
        <w:t>DESCRIÇÃO DA CONTRATAÇÃO</w:t>
      </w:r>
    </w:p>
    <w:p>
      <w:pPr>
        <w:rPr>
          <w:highlight w:val="none"/>
        </w:rPr>
      </w:pPr>
    </w:p>
    <w:p>
      <w:pPr>
        <w:rPr>
          <w:rFonts w:hint="default"/>
          <w:highlight w:val="none"/>
        </w:rPr>
      </w:pPr>
      <w:r>
        <w:rPr>
          <w:rFonts w:hint="default"/>
          <w:highlight w:val="none"/>
        </w:rPr>
        <w:t xml:space="preserve">A presente contratação engloba: </w:t>
      </w:r>
      <w:r>
        <w:rPr>
          <w:rFonts w:hint="default"/>
          <w:highlight w:val="none"/>
          <w:lang w:val="pt-BR"/>
        </w:rPr>
        <w:t>f</w:t>
      </w:r>
      <w:r>
        <w:rPr>
          <w:rFonts w:hint="default"/>
          <w:highlight w:val="none"/>
        </w:rPr>
        <w:t>ornecimento, transporte e instalação de</w:t>
      </w:r>
      <w:r>
        <w:rPr>
          <w:rFonts w:hint="default"/>
          <w:highlight w:val="none"/>
          <w:lang w:val="pt-BR"/>
        </w:rPr>
        <w:t xml:space="preserve"> </w:t>
      </w:r>
      <w:r>
        <w:rPr>
          <w:rFonts w:hint="default"/>
          <w:highlight w:val="none"/>
        </w:rPr>
        <w:t>reservatório de acumulação de água/cisterna em comunidades rurais difusas no</w:t>
      </w:r>
      <w:r>
        <w:rPr>
          <w:rFonts w:hint="default"/>
          <w:highlight w:val="none"/>
          <w:lang w:val="pt-BR"/>
        </w:rPr>
        <w:t xml:space="preserve"> </w:t>
      </w:r>
      <w:r>
        <w:rPr>
          <w:rFonts w:hint="default"/>
          <w:highlight w:val="none"/>
        </w:rPr>
        <w:t>estado da Bahia, incluindo todos os materiais necessários, tais como: tubos,</w:t>
      </w:r>
      <w:r>
        <w:rPr>
          <w:rFonts w:hint="default"/>
          <w:highlight w:val="none"/>
          <w:lang w:val="pt-BR"/>
        </w:rPr>
        <w:t xml:space="preserve"> </w:t>
      </w:r>
      <w:r>
        <w:rPr>
          <w:rFonts w:hint="default"/>
          <w:highlight w:val="none"/>
        </w:rPr>
        <w:t>conexões, registros, calha e bomba manual.</w:t>
      </w:r>
    </w:p>
    <w:p>
      <w:pPr>
        <w:rPr>
          <w:rFonts w:hint="default"/>
          <w:highlight w:val="none"/>
        </w:rPr>
      </w:pPr>
    </w:p>
    <w:p>
      <w:pPr>
        <w:rPr>
          <w:rFonts w:hint="default"/>
          <w:highlight w:val="none"/>
        </w:rPr>
      </w:pPr>
    </w:p>
    <w:p>
      <w:pPr>
        <w:pStyle w:val="2"/>
        <w:spacing w:after="0"/>
        <w:ind w:left="0"/>
        <w:rPr>
          <w:highlight w:val="none"/>
        </w:rPr>
      </w:pPr>
      <w:r>
        <w:rPr>
          <w:highlight w:val="none"/>
        </w:rPr>
        <w:t>JUSTIFICATIVA PARA O NÃO PARCELAMENTO</w:t>
      </w:r>
    </w:p>
    <w:p>
      <w:pPr>
        <w:rPr>
          <w:highlight w:val="none"/>
        </w:rPr>
      </w:pPr>
    </w:p>
    <w:p>
      <w:pPr>
        <w:rPr>
          <w:highlight w:val="none"/>
        </w:rPr>
      </w:pPr>
      <w:r>
        <w:rPr>
          <w:rFonts w:hint="default"/>
          <w:highlight w:val="none"/>
        </w:rPr>
        <w:t>O presente objeto não deve ser parcelado. A solução adotada (Cisterna de 16.00</w:t>
      </w:r>
      <w:r>
        <w:rPr>
          <w:rFonts w:hint="default"/>
          <w:highlight w:val="none"/>
          <w:lang w:val="pt-BR"/>
        </w:rPr>
        <w:t xml:space="preserve">0 </w:t>
      </w:r>
      <w:r>
        <w:rPr>
          <w:rFonts w:hint="default"/>
          <w:highlight w:val="none"/>
        </w:rPr>
        <w:t>litros) é de amplo conhecimento do mercado</w:t>
      </w:r>
      <w:r>
        <w:rPr>
          <w:rFonts w:hint="default"/>
          <w:highlight w:val="none"/>
          <w:lang w:val="pt-BR"/>
        </w:rPr>
        <w:t xml:space="preserve"> -</w:t>
      </w:r>
      <w:r>
        <w:rPr>
          <w:rFonts w:hint="default"/>
          <w:highlight w:val="none"/>
        </w:rPr>
        <w:t xml:space="preserve"> fabricantes e instaladores</w:t>
      </w:r>
      <w:r>
        <w:rPr>
          <w:rFonts w:hint="default"/>
          <w:highlight w:val="none"/>
          <w:lang w:val="pt-BR"/>
        </w:rPr>
        <w:t xml:space="preserve"> -</w:t>
      </w:r>
      <w:r>
        <w:rPr>
          <w:rFonts w:hint="default"/>
          <w:highlight w:val="none"/>
        </w:rPr>
        <w:t xml:space="preserve"> visto que</w:t>
      </w:r>
      <w:r>
        <w:rPr>
          <w:rFonts w:hint="default"/>
          <w:highlight w:val="none"/>
          <w:lang w:val="pt-BR"/>
        </w:rPr>
        <w:t xml:space="preserve"> </w:t>
      </w:r>
      <w:r>
        <w:rPr>
          <w:rFonts w:hint="default"/>
          <w:highlight w:val="none"/>
        </w:rPr>
        <w:t>é utilizada desde 2011. Tecnicamente é mais vantajoso a contratação sem</w:t>
      </w:r>
      <w:r>
        <w:rPr>
          <w:rFonts w:hint="default"/>
          <w:highlight w:val="none"/>
          <w:lang w:val="pt-BR"/>
        </w:rPr>
        <w:t xml:space="preserve"> </w:t>
      </w:r>
      <w:r>
        <w:rPr>
          <w:rFonts w:hint="default"/>
          <w:highlight w:val="none"/>
        </w:rPr>
        <w:t>parcelamento de forma que se garanta toda a integridade da solução, desde o</w:t>
      </w:r>
      <w:r>
        <w:rPr>
          <w:rFonts w:hint="default"/>
          <w:highlight w:val="none"/>
          <w:lang w:val="pt-BR"/>
        </w:rPr>
        <w:t xml:space="preserve"> </w:t>
      </w:r>
      <w:r>
        <w:rPr>
          <w:rFonts w:hint="default"/>
          <w:highlight w:val="none"/>
        </w:rPr>
        <w:t>transporte/fornecimento até a instalação e teste.</w:t>
      </w:r>
    </w:p>
    <w:p>
      <w:pPr>
        <w:rPr>
          <w:highlight w:val="none"/>
        </w:rPr>
      </w:pPr>
    </w:p>
    <w:p>
      <w:pPr>
        <w:rPr>
          <w:highlight w:val="none"/>
        </w:rPr>
      </w:pPr>
    </w:p>
    <w:p>
      <w:pPr>
        <w:pStyle w:val="2"/>
        <w:spacing w:after="0"/>
        <w:ind w:left="0"/>
        <w:rPr>
          <w:highlight w:val="none"/>
        </w:rPr>
      </w:pPr>
      <w:r>
        <w:rPr>
          <w:highlight w:val="none"/>
        </w:rPr>
        <w:t>RESULTADOS PRETENDIDOS COM A CONTRATAÇÃO</w:t>
      </w:r>
    </w:p>
    <w:p>
      <w:pPr>
        <w:rPr>
          <w:highlight w:val="none"/>
        </w:rPr>
      </w:pPr>
    </w:p>
    <w:p>
      <w:pPr>
        <w:rPr>
          <w:highlight w:val="none"/>
        </w:rPr>
      </w:pPr>
      <w:r>
        <w:rPr>
          <w:highlight w:val="none"/>
        </w:rPr>
        <w:t>Os resultados pretendidos são a ampliação d</w:t>
      </w:r>
      <w:r>
        <w:rPr>
          <w:rFonts w:hint="default"/>
          <w:highlight w:val="none"/>
          <w:lang w:val="pt-BR"/>
        </w:rPr>
        <w:t>o acesso à</w:t>
      </w:r>
      <w:r>
        <w:rPr>
          <w:highlight w:val="none"/>
        </w:rPr>
        <w:t xml:space="preserve"> água em municípios da área de atuação da Codevasf, contribuindo para a universalização do acesso aos serviços públicos de saneamento básico, abrangendo benefícios diretos e indiretos como: melhoria das condições de salubridade ambiental da populaç</w:t>
      </w:r>
      <w:r>
        <w:rPr>
          <w:rFonts w:hint="default"/>
          <w:highlight w:val="none"/>
          <w:lang w:val="pt-BR"/>
        </w:rPr>
        <w:t xml:space="preserve">ão </w:t>
      </w:r>
      <w:r>
        <w:rPr>
          <w:highlight w:val="none"/>
        </w:rPr>
        <w:t xml:space="preserve">rural dos municípios beneficiados, bem como a melhoria na qualidade de vida, </w:t>
      </w:r>
      <w:r>
        <w:rPr>
          <w:rFonts w:hint="default"/>
          <w:highlight w:val="none"/>
          <w:lang w:val="pt-BR"/>
        </w:rPr>
        <w:t xml:space="preserve">a </w:t>
      </w:r>
      <w:r>
        <w:rPr>
          <w:highlight w:val="none"/>
        </w:rPr>
        <w:t>diminuição do acometimento por doenças de veiculação hídrica e</w:t>
      </w:r>
      <w:r>
        <w:rPr>
          <w:rFonts w:hint="default"/>
          <w:highlight w:val="none"/>
          <w:lang w:val="pt-BR"/>
        </w:rPr>
        <w:t xml:space="preserve"> a</w:t>
      </w:r>
      <w:r>
        <w:rPr>
          <w:highlight w:val="none"/>
        </w:rPr>
        <w:t xml:space="preserve"> diminuição das desigualdades intra-regionais.</w:t>
      </w:r>
    </w:p>
    <w:p>
      <w:pPr>
        <w:rPr>
          <w:highlight w:val="none"/>
        </w:rPr>
      </w:pPr>
    </w:p>
    <w:p>
      <w:pPr>
        <w:rPr>
          <w:highlight w:val="none"/>
        </w:rPr>
      </w:pPr>
    </w:p>
    <w:p>
      <w:pPr>
        <w:pStyle w:val="2"/>
        <w:spacing w:after="0"/>
        <w:ind w:left="0"/>
        <w:rPr>
          <w:highlight w:val="none"/>
        </w:rPr>
      </w:pPr>
      <w:r>
        <w:rPr>
          <w:highlight w:val="none"/>
        </w:rPr>
        <w:t>PROVIDÊNCIAS A SEREM ADOTADAS PREVIAMENTE À CONTRATAÇÃO</w:t>
      </w:r>
    </w:p>
    <w:p>
      <w:pPr>
        <w:rPr>
          <w:highlight w:val="none"/>
        </w:rPr>
      </w:pPr>
    </w:p>
    <w:p>
      <w:pPr>
        <w:rPr>
          <w:rFonts w:hint="default"/>
          <w:highlight w:val="none"/>
          <w:lang w:val="pt-BR"/>
        </w:rPr>
      </w:pPr>
      <w:r>
        <w:rPr>
          <w:highlight w:val="none"/>
        </w:rPr>
        <w:t xml:space="preserve">Em se tratando </w:t>
      </w:r>
      <w:r>
        <w:rPr>
          <w:rFonts w:hint="default"/>
          <w:highlight w:val="none"/>
          <w:lang w:val="pt-BR"/>
        </w:rPr>
        <w:t>d</w:t>
      </w:r>
      <w:r>
        <w:rPr>
          <w:highlight w:val="none"/>
        </w:rPr>
        <w:t>o objeto desta contratação</w:t>
      </w:r>
      <w:r>
        <w:rPr>
          <w:rFonts w:hint="default"/>
          <w:highlight w:val="none"/>
          <w:lang w:val="pt-BR"/>
        </w:rPr>
        <w:t>, faz se necessário localizar e identificar quais são as famílias a serem beneficiadas com a ação, bem como a localização dos seus domicílios.</w:t>
      </w:r>
    </w:p>
    <w:p>
      <w:pPr>
        <w:rPr>
          <w:highlight w:val="none"/>
        </w:rPr>
      </w:pPr>
    </w:p>
    <w:p>
      <w:pPr>
        <w:rPr>
          <w:highlight w:val="none"/>
        </w:rPr>
      </w:pPr>
      <w:bookmarkStart w:id="0" w:name="_GoBack"/>
      <w:bookmarkEnd w:id="0"/>
    </w:p>
    <w:p>
      <w:pPr>
        <w:pStyle w:val="2"/>
        <w:spacing w:after="0"/>
        <w:ind w:left="0"/>
        <w:rPr>
          <w:highlight w:val="none"/>
        </w:rPr>
      </w:pPr>
      <w:r>
        <w:rPr>
          <w:highlight w:val="none"/>
        </w:rPr>
        <w:t>DECLARAÇÃO DE VIABILIDADE DA CONTRATAÇÃO</w:t>
      </w:r>
    </w:p>
    <w:p>
      <w:pPr>
        <w:rPr>
          <w:highlight w:val="none"/>
        </w:rPr>
      </w:pPr>
    </w:p>
    <w:p>
      <w:pPr>
        <w:rPr>
          <w:highlight w:val="none"/>
        </w:rPr>
      </w:pPr>
      <w:r>
        <w:rPr>
          <w:highlight w:val="none"/>
        </w:rPr>
        <w:t>Considerando o que foi apresentado neste Estudo Técnico Preliminar, entende-se pela viabilidade e razoabilidade da presente contratação.</w:t>
      </w:r>
    </w:p>
    <w:p>
      <w:pPr>
        <w:rPr>
          <w:highlight w:val="none"/>
        </w:rPr>
      </w:pPr>
    </w:p>
    <w:p>
      <w:pPr>
        <w:rPr>
          <w:highlight w:val="none"/>
        </w:rPr>
      </w:pPr>
      <w:r>
        <w:rPr>
          <w:highlight w:val="none"/>
        </w:rPr>
        <w:t>Responsável pelas informações:</w:t>
      </w:r>
    </w:p>
    <w:p>
      <w:pPr>
        <w:rPr>
          <w:highlight w:val="none"/>
        </w:rPr>
      </w:pPr>
    </w:p>
    <w:p>
      <w:pPr>
        <w:rPr>
          <w:color w:val="FF0000"/>
          <w:highlight w:val="none"/>
        </w:rPr>
      </w:pPr>
      <w:r>
        <w:rPr>
          <w:color w:val="FF0000"/>
          <w:highlight w:val="none"/>
        </w:rPr>
        <w:t>Assinado eletronicamente</w:t>
      </w:r>
    </w:p>
    <w:p>
      <w:pPr>
        <w:rPr>
          <w:highlight w:val="none"/>
        </w:rPr>
      </w:pPr>
      <w:r>
        <w:rPr>
          <w:highlight w:val="none"/>
        </w:rPr>
        <w:t>Rafael Apoena Marques Trece</w:t>
      </w:r>
    </w:p>
    <w:p>
      <w:pPr>
        <w:rPr>
          <w:highlight w:val="none"/>
        </w:rPr>
      </w:pPr>
      <w:r>
        <w:rPr>
          <w:highlight w:val="none"/>
        </w:rPr>
        <w:t>Chefe Substituto da 2ª/GRR/USA</w:t>
      </w:r>
    </w:p>
    <w:p>
      <w:pPr>
        <w:rPr>
          <w:highlight w:val="none"/>
        </w:rPr>
      </w:pPr>
    </w:p>
    <w:p>
      <w:pPr>
        <w:rPr>
          <w:highlight w:val="none"/>
        </w:rPr>
      </w:pPr>
    </w:p>
    <w:p>
      <w:pPr>
        <w:rPr>
          <w:highlight w:val="none"/>
        </w:rPr>
      </w:pPr>
      <w:r>
        <w:rPr>
          <w:highlight w:val="none"/>
        </w:rPr>
        <w:t>Aprovo o referido Estudo Técnico Preliminar.</w:t>
      </w:r>
    </w:p>
    <w:p>
      <w:pPr>
        <w:rPr>
          <w:highlight w:val="none"/>
        </w:rPr>
      </w:pPr>
    </w:p>
    <w:p>
      <w:pPr>
        <w:rPr>
          <w:color w:val="FF0000"/>
          <w:highlight w:val="none"/>
        </w:rPr>
      </w:pPr>
      <w:r>
        <w:rPr>
          <w:color w:val="FF0000"/>
          <w:highlight w:val="none"/>
        </w:rPr>
        <w:t>Assinado eletronicamente</w:t>
      </w:r>
    </w:p>
    <w:p>
      <w:pPr>
        <w:rPr>
          <w:highlight w:val="none"/>
        </w:rPr>
      </w:pPr>
      <w:r>
        <w:rPr>
          <w:highlight w:val="none"/>
        </w:rPr>
        <w:t>Edson Rodrigues Marques Júnior</w:t>
      </w:r>
    </w:p>
    <w:p>
      <w:pPr>
        <w:rPr>
          <w:highlight w:val="none"/>
        </w:rPr>
      </w:pPr>
      <w:r>
        <w:rPr>
          <w:highlight w:val="none"/>
        </w:rPr>
        <w:t>Gerente Regional da 2ª/GRR</w:t>
      </w:r>
    </w:p>
    <w:p>
      <w:pPr>
        <w:rPr>
          <w:highlight w:val="none"/>
        </w:rPr>
      </w:pPr>
    </w:p>
    <w:p>
      <w:pPr>
        <w:rPr>
          <w:highlight w:val="none"/>
        </w:rPr>
      </w:pPr>
    </w:p>
    <w:p>
      <w:pPr>
        <w:rPr>
          <w:highlight w:val="none"/>
        </w:rPr>
      </w:pPr>
      <w:r>
        <w:rPr>
          <w:highlight w:val="none"/>
        </w:rPr>
        <w:t>Homologo o Estudo Técnico Preliminar.</w:t>
      </w:r>
    </w:p>
    <w:p>
      <w:pPr>
        <w:rPr>
          <w:highlight w:val="none"/>
        </w:rPr>
      </w:pPr>
    </w:p>
    <w:p>
      <w:pPr>
        <w:rPr>
          <w:color w:val="FF0000"/>
          <w:highlight w:val="none"/>
        </w:rPr>
      </w:pPr>
      <w:r>
        <w:rPr>
          <w:color w:val="FF0000"/>
          <w:highlight w:val="none"/>
        </w:rPr>
        <w:t>Assinado eletronicamente</w:t>
      </w:r>
    </w:p>
    <w:p>
      <w:pPr>
        <w:rPr>
          <w:highlight w:val="none"/>
        </w:rPr>
      </w:pPr>
      <w:r>
        <w:rPr>
          <w:highlight w:val="none"/>
        </w:rPr>
        <w:t>Harley Xavier Nascimento</w:t>
      </w:r>
    </w:p>
    <w:p>
      <w:pPr>
        <w:rPr>
          <w:highlight w:val="none"/>
        </w:rPr>
      </w:pPr>
      <w:r>
        <w:rPr>
          <w:highlight w:val="none"/>
        </w:rPr>
        <w:t>Superintendente Regional da 2ª SR</w:t>
      </w:r>
    </w:p>
    <w:sectPr>
      <w:headerReference r:id="rId3" w:type="default"/>
      <w:pgSz w:w="11906" w:h="16838"/>
      <w:pgMar w:top="1985" w:right="1134" w:bottom="1134" w:left="1701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 Light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16"/>
      <w:tblW w:w="9061" w:type="dxa"/>
      <w:tblInd w:w="0" w:type="dxa"/>
      <w:tbl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2547"/>
      <w:gridCol w:w="6514"/>
    </w:tblGrid>
    <w:tr>
      <w:tblPrEx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Ex>
      <w:tc>
        <w:tcPr>
          <w:tcW w:w="2547" w:type="dxa"/>
          <w:vAlign w:val="center"/>
        </w:tcPr>
        <w:p>
          <w:pPr>
            <w:pStyle w:val="11"/>
            <w:jc w:val="center"/>
          </w:pPr>
          <w:r>
            <w:rPr>
              <w:rFonts w:ascii="Times New Roman" w:hAnsi="Times New Roman" w:cs="Times New Roman"/>
              <w:lang w:eastAsia="pt-BR"/>
            </w:rPr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page">
                  <wp:posOffset>87630</wp:posOffset>
                </wp:positionH>
                <wp:positionV relativeFrom="page">
                  <wp:posOffset>80645</wp:posOffset>
                </wp:positionV>
                <wp:extent cx="1465580" cy="351790"/>
                <wp:effectExtent l="0" t="0" r="1270" b="10160"/>
                <wp:wrapNone/>
                <wp:docPr id="1" name="image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1.png"/>
                        <pic:cNvPicPr>
                          <a:picLocks noChangeAspect="1"/>
                        </pic:cNvPicPr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9040" cy="35179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514" w:type="dxa"/>
          <w:vAlign w:val="center"/>
        </w:tcPr>
        <w:p>
          <w:pPr>
            <w:jc w:val="left"/>
            <w:rPr>
              <w:sz w:val="24"/>
              <w:szCs w:val="24"/>
            </w:rPr>
          </w:pPr>
          <w:r>
            <w:rPr>
              <w:sz w:val="24"/>
              <w:szCs w:val="24"/>
            </w:rPr>
            <w:t>Ministério do Desenvolvimento Regional - MDR</w:t>
          </w:r>
        </w:p>
        <w:p>
          <w:pPr>
            <w:pStyle w:val="11"/>
            <w:jc w:val="left"/>
            <w:rPr>
              <w:sz w:val="18"/>
              <w:szCs w:val="18"/>
            </w:rPr>
          </w:pPr>
          <w:r>
            <w:rPr>
              <w:sz w:val="18"/>
              <w:szCs w:val="18"/>
            </w:rPr>
            <w:t>Companhia de Desenvolvimento dos Vales do São Francisco e do Parnaíba</w:t>
          </w:r>
        </w:p>
        <w:p>
          <w:pPr>
            <w:pStyle w:val="11"/>
            <w:jc w:val="left"/>
            <w:rPr>
              <w:sz w:val="24"/>
              <w:szCs w:val="24"/>
            </w:rPr>
          </w:pPr>
          <w:r>
            <w:rPr>
              <w:sz w:val="24"/>
              <w:szCs w:val="24"/>
            </w:rPr>
            <w:t>2ª Superintendência Regional</w:t>
          </w:r>
        </w:p>
      </w:tc>
    </w:tr>
  </w:tbl>
  <w:p>
    <w:pPr>
      <w:pStyle w:val="11"/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0E57A1"/>
    <w:multiLevelType w:val="multilevel"/>
    <w:tmpl w:val="760E57A1"/>
    <w:lvl w:ilvl="0" w:tentative="0">
      <w:start w:val="1"/>
      <w:numFmt w:val="decimal"/>
      <w:pStyle w:val="2"/>
      <w:lvlText w:val="%1"/>
      <w:lvlJc w:val="left"/>
      <w:pPr>
        <w:ind w:left="432" w:hanging="432"/>
      </w:pPr>
    </w:lvl>
    <w:lvl w:ilvl="1" w:tentative="0">
      <w:start w:val="1"/>
      <w:numFmt w:val="decimal"/>
      <w:pStyle w:val="3"/>
      <w:lvlText w:val="%1.%2"/>
      <w:lvlJc w:val="left"/>
      <w:pPr>
        <w:ind w:left="576" w:hanging="576"/>
      </w:pPr>
    </w:lvl>
    <w:lvl w:ilvl="2" w:tentative="0">
      <w:start w:val="1"/>
      <w:numFmt w:val="decimal"/>
      <w:pStyle w:val="4"/>
      <w:lvlText w:val="%1.%2.%3"/>
      <w:lvlJc w:val="left"/>
      <w:pPr>
        <w:ind w:left="720" w:hanging="720"/>
      </w:pPr>
    </w:lvl>
    <w:lvl w:ilvl="3" w:tentative="0">
      <w:start w:val="1"/>
      <w:numFmt w:val="decimal"/>
      <w:pStyle w:val="5"/>
      <w:lvlText w:val="%1.%2.%3.%4"/>
      <w:lvlJc w:val="left"/>
      <w:pPr>
        <w:ind w:left="864" w:hanging="864"/>
      </w:pPr>
    </w:lvl>
    <w:lvl w:ilvl="4" w:tentative="0">
      <w:start w:val="1"/>
      <w:numFmt w:val="decimal"/>
      <w:pStyle w:val="6"/>
      <w:lvlText w:val="%1.%2.%3.%4.%5"/>
      <w:lvlJc w:val="left"/>
      <w:pPr>
        <w:ind w:left="1008" w:hanging="1008"/>
      </w:pPr>
    </w:lvl>
    <w:lvl w:ilvl="5" w:tentative="0">
      <w:start w:val="1"/>
      <w:numFmt w:val="decimal"/>
      <w:pStyle w:val="7"/>
      <w:lvlText w:val="%1.%2.%3.%4.%5.%6"/>
      <w:lvlJc w:val="left"/>
      <w:pPr>
        <w:ind w:left="1152" w:hanging="1152"/>
      </w:pPr>
    </w:lvl>
    <w:lvl w:ilvl="6" w:tentative="0">
      <w:start w:val="1"/>
      <w:numFmt w:val="decimal"/>
      <w:pStyle w:val="8"/>
      <w:lvlText w:val="%1.%2.%3.%4.%5.%6.%7"/>
      <w:lvlJc w:val="left"/>
      <w:pPr>
        <w:ind w:left="1296" w:hanging="1296"/>
      </w:pPr>
    </w:lvl>
    <w:lvl w:ilvl="7" w:tentative="0">
      <w:start w:val="1"/>
      <w:numFmt w:val="decimal"/>
      <w:pStyle w:val="9"/>
      <w:lvlText w:val="%1.%2.%3.%4.%5.%6.%7.%8"/>
      <w:lvlJc w:val="left"/>
      <w:pPr>
        <w:ind w:left="1440" w:hanging="1440"/>
      </w:pPr>
    </w:lvl>
    <w:lvl w:ilvl="8" w:tentative="0">
      <w:start w:val="1"/>
      <w:numFmt w:val="decimal"/>
      <w:pStyle w:val="10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708"/>
  <w:hyphenationZone w:val="425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doNotUseIndentAsNumberingTabStop/>
    <w:useAltKinsokuLineBreakRules/>
    <w:compatSetting w:name="compatibilityMode" w:uri="http://schemas.microsoft.com/office/word" w:val="12"/>
  </w:compat>
  <w:rsids>
    <w:rsidRoot w:val="00172A27"/>
    <w:rsid w:val="00001024"/>
    <w:rsid w:val="00043A9F"/>
    <w:rsid w:val="00055667"/>
    <w:rsid w:val="00070612"/>
    <w:rsid w:val="000C7E19"/>
    <w:rsid w:val="00104346"/>
    <w:rsid w:val="001745F9"/>
    <w:rsid w:val="00185E27"/>
    <w:rsid w:val="00372E95"/>
    <w:rsid w:val="00413B1B"/>
    <w:rsid w:val="00461BC8"/>
    <w:rsid w:val="004656BD"/>
    <w:rsid w:val="004932A7"/>
    <w:rsid w:val="004C1BEB"/>
    <w:rsid w:val="004E1EB2"/>
    <w:rsid w:val="005276A1"/>
    <w:rsid w:val="005307CC"/>
    <w:rsid w:val="00554E1A"/>
    <w:rsid w:val="005568E1"/>
    <w:rsid w:val="00560755"/>
    <w:rsid w:val="005B4DC0"/>
    <w:rsid w:val="005E5117"/>
    <w:rsid w:val="0068071C"/>
    <w:rsid w:val="006D2BBD"/>
    <w:rsid w:val="006D6031"/>
    <w:rsid w:val="0078137C"/>
    <w:rsid w:val="007A6CC4"/>
    <w:rsid w:val="007B3E0B"/>
    <w:rsid w:val="007E0160"/>
    <w:rsid w:val="008423AF"/>
    <w:rsid w:val="008B11E5"/>
    <w:rsid w:val="008C72FB"/>
    <w:rsid w:val="008D469D"/>
    <w:rsid w:val="008E6E9D"/>
    <w:rsid w:val="00952B6E"/>
    <w:rsid w:val="00987292"/>
    <w:rsid w:val="009E3C1C"/>
    <w:rsid w:val="00AF1F81"/>
    <w:rsid w:val="00B04E85"/>
    <w:rsid w:val="00B14F69"/>
    <w:rsid w:val="00B6411F"/>
    <w:rsid w:val="00B94056"/>
    <w:rsid w:val="00C04C22"/>
    <w:rsid w:val="00C05805"/>
    <w:rsid w:val="00C321C5"/>
    <w:rsid w:val="00CA3B51"/>
    <w:rsid w:val="00D41EFB"/>
    <w:rsid w:val="00D526BD"/>
    <w:rsid w:val="00DA479E"/>
    <w:rsid w:val="00E42592"/>
    <w:rsid w:val="00E708F6"/>
    <w:rsid w:val="00E80FDF"/>
    <w:rsid w:val="00ED6457"/>
    <w:rsid w:val="00EE51D4"/>
    <w:rsid w:val="00F12AB1"/>
    <w:rsid w:val="00F31B42"/>
    <w:rsid w:val="00F66C0A"/>
    <w:rsid w:val="00F9498E"/>
    <w:rsid w:val="00FA7070"/>
    <w:rsid w:val="00FB7A5E"/>
    <w:rsid w:val="00FC5B75"/>
    <w:rsid w:val="00FE7750"/>
    <w:rsid w:val="00FF619F"/>
    <w:rsid w:val="01DB0757"/>
    <w:rsid w:val="036F1E71"/>
    <w:rsid w:val="0893103E"/>
    <w:rsid w:val="08B17D23"/>
    <w:rsid w:val="0E29455D"/>
    <w:rsid w:val="0E7116E7"/>
    <w:rsid w:val="10B40B44"/>
    <w:rsid w:val="10F34A27"/>
    <w:rsid w:val="13325A5D"/>
    <w:rsid w:val="138367ED"/>
    <w:rsid w:val="1E014F39"/>
    <w:rsid w:val="278F7528"/>
    <w:rsid w:val="2C165D5E"/>
    <w:rsid w:val="2C58581A"/>
    <w:rsid w:val="30A3281D"/>
    <w:rsid w:val="38B07AE3"/>
    <w:rsid w:val="3D60341D"/>
    <w:rsid w:val="429D60BF"/>
    <w:rsid w:val="42EF06AD"/>
    <w:rsid w:val="43BD4F1B"/>
    <w:rsid w:val="48516301"/>
    <w:rsid w:val="48944CC0"/>
    <w:rsid w:val="517F735C"/>
    <w:rsid w:val="52B11640"/>
    <w:rsid w:val="55831471"/>
    <w:rsid w:val="55DD7AE7"/>
    <w:rsid w:val="5A8C77A1"/>
    <w:rsid w:val="5D0D74DD"/>
    <w:rsid w:val="5D250B1E"/>
    <w:rsid w:val="5E262849"/>
    <w:rsid w:val="5FB91A13"/>
    <w:rsid w:val="5FF50DA9"/>
    <w:rsid w:val="638D39F0"/>
    <w:rsid w:val="64872704"/>
    <w:rsid w:val="655B0CD8"/>
    <w:rsid w:val="668F211F"/>
    <w:rsid w:val="68110C35"/>
    <w:rsid w:val="6A0C7C1E"/>
    <w:rsid w:val="6AC87E7C"/>
    <w:rsid w:val="6DE11ABE"/>
    <w:rsid w:val="6E3251E0"/>
    <w:rsid w:val="6F535408"/>
    <w:rsid w:val="71C8779C"/>
    <w:rsid w:val="76570454"/>
    <w:rsid w:val="7729390D"/>
    <w:rsid w:val="79F257AD"/>
    <w:rsid w:val="7A2C1CA1"/>
    <w:rsid w:val="7B6D0F8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  <w:jc w:val="both"/>
    </w:pPr>
    <w:rPr>
      <w:rFonts w:ascii="Arial" w:hAnsi="Arial" w:cs="Arial" w:eastAsiaTheme="minorHAnsi"/>
      <w:sz w:val="22"/>
      <w:szCs w:val="22"/>
      <w:lang w:val="pt-BR" w:eastAsia="en-US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numPr>
        <w:ilvl w:val="0"/>
        <w:numId w:val="1"/>
      </w:numPr>
      <w:spacing w:after="240"/>
      <w:ind w:left="431" w:hanging="431"/>
      <w:jc w:val="left"/>
      <w:outlineLvl w:val="0"/>
    </w:pPr>
    <w:rPr>
      <w:b/>
      <w:bCs/>
    </w:rPr>
  </w:style>
  <w:style w:type="paragraph" w:styleId="3">
    <w:name w:val="heading 2"/>
    <w:basedOn w:val="1"/>
    <w:next w:val="1"/>
    <w:link w:val="18"/>
    <w:unhideWhenUsed/>
    <w:qFormat/>
    <w:uiPriority w:val="9"/>
    <w:pPr>
      <w:numPr>
        <w:ilvl w:val="1"/>
        <w:numId w:val="1"/>
      </w:numPr>
      <w:outlineLvl w:val="1"/>
    </w:pPr>
  </w:style>
  <w:style w:type="paragraph" w:styleId="4">
    <w:name w:val="heading 3"/>
    <w:basedOn w:val="1"/>
    <w:next w:val="1"/>
    <w:link w:val="19"/>
    <w:unhideWhenUsed/>
    <w:qFormat/>
    <w:uiPriority w:val="9"/>
    <w:pPr>
      <w:keepNext/>
      <w:keepLines/>
      <w:numPr>
        <w:ilvl w:val="2"/>
        <w:numId w:val="1"/>
      </w:numPr>
      <w:spacing w:before="40"/>
      <w:outlineLvl w:val="2"/>
    </w:pPr>
    <w:rPr>
      <w:rFonts w:eastAsiaTheme="majorEastAsia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hAnsiTheme="majorHAnsi" w:eastAsiaTheme="majorEastAsia" w:cstheme="majorBidi"/>
      <w:i/>
      <w:iCs/>
      <w:color w:val="2F5496" w:themeColor="accent1" w:themeShade="BF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hAnsiTheme="majorHAnsi" w:eastAsiaTheme="majorEastAsia" w:cstheme="majorBidi"/>
      <w:color w:val="2F5496" w:themeColor="accent1" w:themeShade="BF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hAnsiTheme="majorHAnsi" w:eastAsiaTheme="majorEastAsia" w:cstheme="majorBidi"/>
      <w:color w:val="1F3864" w:themeColor="accent1" w:themeShade="80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hAnsiTheme="majorHAnsi" w:eastAsiaTheme="majorEastAsia" w:cstheme="majorBidi"/>
      <w:i/>
      <w:iCs/>
      <w:color w:val="1F3864" w:themeColor="accent1" w:themeShade="80"/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hAnsiTheme="majorHAnsi" w:eastAsiaTheme="majorEastAsia" w:cstheme="majorBidi"/>
      <w:color w:val="252525" w:themeColor="text1" w:themeTint="D9"/>
      <w:sz w:val="21"/>
      <w:szCs w:val="21"/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hAnsiTheme="majorHAnsi" w:eastAsiaTheme="majorEastAsia" w:cstheme="majorBidi"/>
      <w:i/>
      <w:iCs/>
      <w:color w:val="252525" w:themeColor="text1" w:themeTint="D9"/>
      <w:sz w:val="21"/>
      <w:szCs w:val="21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header"/>
    <w:basedOn w:val="1"/>
    <w:link w:val="26"/>
    <w:unhideWhenUsed/>
    <w:qFormat/>
    <w:uiPriority w:val="99"/>
    <w:pPr>
      <w:tabs>
        <w:tab w:val="center" w:pos="4252"/>
        <w:tab w:val="right" w:pos="8504"/>
      </w:tabs>
    </w:pPr>
  </w:style>
  <w:style w:type="paragraph" w:styleId="12">
    <w:name w:val="footer"/>
    <w:basedOn w:val="1"/>
    <w:link w:val="27"/>
    <w:unhideWhenUsed/>
    <w:qFormat/>
    <w:uiPriority w:val="99"/>
    <w:pPr>
      <w:tabs>
        <w:tab w:val="center" w:pos="4252"/>
        <w:tab w:val="right" w:pos="8504"/>
      </w:tabs>
    </w:pPr>
  </w:style>
  <w:style w:type="character" w:styleId="14">
    <w:name w:val="Hyperlink"/>
    <w:basedOn w:val="13"/>
    <w:semiHidden/>
    <w:unhideWhenUsed/>
    <w:uiPriority w:val="99"/>
    <w:rPr>
      <w:color w:val="0000FF"/>
      <w:u w:val="single"/>
    </w:rPr>
  </w:style>
  <w:style w:type="table" w:styleId="16">
    <w:name w:val="Table Grid"/>
    <w:basedOn w:val="15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7">
    <w:name w:val="Título 1 Char"/>
    <w:basedOn w:val="13"/>
    <w:link w:val="2"/>
    <w:qFormat/>
    <w:uiPriority w:val="9"/>
    <w:rPr>
      <w:rFonts w:ascii="Arial" w:hAnsi="Arial" w:cs="Arial"/>
      <w:b/>
      <w:bCs/>
    </w:rPr>
  </w:style>
  <w:style w:type="character" w:customStyle="1" w:styleId="18">
    <w:name w:val="Título 2 Char"/>
    <w:basedOn w:val="13"/>
    <w:link w:val="3"/>
    <w:qFormat/>
    <w:uiPriority w:val="9"/>
    <w:rPr>
      <w:rFonts w:ascii="Arial" w:hAnsi="Arial" w:cs="Arial"/>
    </w:rPr>
  </w:style>
  <w:style w:type="character" w:customStyle="1" w:styleId="19">
    <w:name w:val="Título 3 Char"/>
    <w:basedOn w:val="13"/>
    <w:link w:val="4"/>
    <w:qFormat/>
    <w:uiPriority w:val="9"/>
    <w:rPr>
      <w:rFonts w:ascii="Arial" w:hAnsi="Arial" w:cs="Arial" w:eastAsiaTheme="majorEastAsia"/>
    </w:rPr>
  </w:style>
  <w:style w:type="character" w:customStyle="1" w:styleId="20">
    <w:name w:val="Título 4 Char"/>
    <w:basedOn w:val="13"/>
    <w:link w:val="5"/>
    <w:semiHidden/>
    <w:qFormat/>
    <w:uiPriority w:val="9"/>
    <w:rPr>
      <w:rFonts w:asciiTheme="majorHAnsi" w:hAnsiTheme="majorHAnsi" w:eastAsiaTheme="majorEastAsia" w:cstheme="majorBidi"/>
      <w:i/>
      <w:iCs/>
      <w:color w:val="2F5496" w:themeColor="accent1" w:themeShade="BF"/>
    </w:rPr>
  </w:style>
  <w:style w:type="character" w:customStyle="1" w:styleId="21">
    <w:name w:val="Título 5 Char"/>
    <w:basedOn w:val="13"/>
    <w:link w:val="6"/>
    <w:semiHidden/>
    <w:qFormat/>
    <w:uiPriority w:val="9"/>
    <w:rPr>
      <w:rFonts w:asciiTheme="majorHAnsi" w:hAnsiTheme="majorHAnsi" w:eastAsiaTheme="majorEastAsia" w:cstheme="majorBidi"/>
      <w:color w:val="2F5496" w:themeColor="accent1" w:themeShade="BF"/>
    </w:rPr>
  </w:style>
  <w:style w:type="character" w:customStyle="1" w:styleId="22">
    <w:name w:val="Título 6 Char"/>
    <w:basedOn w:val="13"/>
    <w:link w:val="7"/>
    <w:semiHidden/>
    <w:qFormat/>
    <w:uiPriority w:val="9"/>
    <w:rPr>
      <w:rFonts w:asciiTheme="majorHAnsi" w:hAnsiTheme="majorHAnsi" w:eastAsiaTheme="majorEastAsia" w:cstheme="majorBidi"/>
      <w:color w:val="1F3864" w:themeColor="accent1" w:themeShade="80"/>
    </w:rPr>
  </w:style>
  <w:style w:type="character" w:customStyle="1" w:styleId="23">
    <w:name w:val="Título 7 Char"/>
    <w:basedOn w:val="13"/>
    <w:link w:val="8"/>
    <w:semiHidden/>
    <w:qFormat/>
    <w:uiPriority w:val="9"/>
    <w:rPr>
      <w:rFonts w:asciiTheme="majorHAnsi" w:hAnsiTheme="majorHAnsi" w:eastAsiaTheme="majorEastAsia" w:cstheme="majorBidi"/>
      <w:i/>
      <w:iCs/>
      <w:color w:val="1F3864" w:themeColor="accent1" w:themeShade="80"/>
    </w:rPr>
  </w:style>
  <w:style w:type="character" w:customStyle="1" w:styleId="24">
    <w:name w:val="Título 8 Char"/>
    <w:basedOn w:val="13"/>
    <w:link w:val="9"/>
    <w:semiHidden/>
    <w:qFormat/>
    <w:uiPriority w:val="9"/>
    <w:rPr>
      <w:rFonts w:asciiTheme="majorHAnsi" w:hAnsiTheme="majorHAnsi" w:eastAsiaTheme="majorEastAsia" w:cstheme="majorBidi"/>
      <w:color w:val="252525" w:themeColor="text1" w:themeTint="D9"/>
      <w:sz w:val="21"/>
      <w:szCs w:val="21"/>
    </w:rPr>
  </w:style>
  <w:style w:type="character" w:customStyle="1" w:styleId="25">
    <w:name w:val="Título 9 Char"/>
    <w:basedOn w:val="13"/>
    <w:link w:val="10"/>
    <w:semiHidden/>
    <w:qFormat/>
    <w:uiPriority w:val="9"/>
    <w:rPr>
      <w:rFonts w:asciiTheme="majorHAnsi" w:hAnsiTheme="majorHAnsi" w:eastAsiaTheme="majorEastAsia" w:cstheme="majorBidi"/>
      <w:i/>
      <w:iCs/>
      <w:color w:val="252525" w:themeColor="text1" w:themeTint="D9"/>
      <w:sz w:val="21"/>
      <w:szCs w:val="21"/>
    </w:rPr>
  </w:style>
  <w:style w:type="character" w:customStyle="1" w:styleId="26">
    <w:name w:val="Cabeçalho Char"/>
    <w:basedOn w:val="13"/>
    <w:link w:val="11"/>
    <w:qFormat/>
    <w:uiPriority w:val="99"/>
    <w:rPr>
      <w:rFonts w:ascii="Arial" w:hAnsi="Arial" w:cs="Arial"/>
    </w:rPr>
  </w:style>
  <w:style w:type="character" w:customStyle="1" w:styleId="27">
    <w:name w:val="Rodapé Char"/>
    <w:basedOn w:val="13"/>
    <w:link w:val="12"/>
    <w:qFormat/>
    <w:uiPriority w:val="99"/>
    <w:rPr>
      <w:rFonts w:ascii="Arial" w:hAnsi="Arial" w:cs="Arial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4</Pages>
  <Words>1149</Words>
  <Characters>6851</Characters>
  <Lines>67</Lines>
  <Paragraphs>19</Paragraphs>
  <TotalTime>14</TotalTime>
  <ScaleCrop>false</ScaleCrop>
  <LinksUpToDate>false</LinksUpToDate>
  <CharactersWithSpaces>7950</CharactersWithSpaces>
  <Application>WPS Office_11.2.0.8942_F1E327BC-269C-435d-A152-05C5408002CA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2021-09-22T12:50:00Z</dcterms:created>
  <dc:creator>Denilson Souza</dc:creator>
  <cp:lastModifiedBy>Rafael.trece</cp:lastModifiedBy>
  <dcterms:modified xsi:type="dcterms:W3CDTF">2021-12-01T20:18:07Z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1046-11.2.0.8942</vt:lpwstr>
  </property>
</Properties>
</file>